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53" w:rsidRDefault="00A61253"/>
    <w:p w:rsidR="005D7553" w:rsidRDefault="005D7553" w:rsidP="005D7553">
      <w:pPr>
        <w:ind w:left="1134"/>
        <w:jc w:val="center"/>
        <w:rPr>
          <w:rFonts w:ascii="Garamond" w:hAnsi="Garamond"/>
          <w:b/>
          <w:color w:val="FF0000"/>
          <w:sz w:val="32"/>
          <w:szCs w:val="32"/>
        </w:rPr>
      </w:pPr>
      <w:r>
        <w:rPr>
          <w:rFonts w:ascii="Garamond" w:hAnsi="Garamond"/>
          <w:b/>
          <w:noProof/>
          <w:color w:val="FF0000"/>
          <w:sz w:val="32"/>
          <w:szCs w:val="32"/>
          <w:lang w:eastAsia="fr-FR"/>
        </w:rPr>
        <w:drawing>
          <wp:inline distT="0" distB="0" distL="0" distR="0">
            <wp:extent cx="2197909" cy="104620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cademie-d-Orlea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37" cy="106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553" w:rsidRPr="005D7553" w:rsidRDefault="005D7553" w:rsidP="005D7553">
      <w:pPr>
        <w:ind w:left="1134"/>
        <w:jc w:val="center"/>
        <w:rPr>
          <w:rFonts w:ascii="Times New Roman" w:hAnsi="Times New Roman" w:cs="Times New Roman"/>
          <w:b/>
          <w:color w:val="993300"/>
          <w:sz w:val="32"/>
          <w:szCs w:val="32"/>
        </w:rPr>
      </w:pPr>
      <w:r w:rsidRPr="005D7553">
        <w:rPr>
          <w:rFonts w:ascii="Times New Roman" w:hAnsi="Times New Roman" w:cs="Times New Roman"/>
          <w:b/>
          <w:color w:val="993300"/>
          <w:sz w:val="32"/>
          <w:szCs w:val="32"/>
        </w:rPr>
        <w:t xml:space="preserve">Rue Antoine Petit </w:t>
      </w:r>
    </w:p>
    <w:p w:rsidR="005D7553" w:rsidRPr="005D7553" w:rsidRDefault="005D7553" w:rsidP="005D7553">
      <w:pPr>
        <w:ind w:left="113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D7553">
        <w:rPr>
          <w:rFonts w:ascii="Times New Roman" w:hAnsi="Times New Roman" w:cs="Times New Roman"/>
          <w:b/>
          <w:color w:val="993300"/>
          <w:sz w:val="32"/>
          <w:szCs w:val="32"/>
        </w:rPr>
        <w:t>Orléans</w:t>
      </w:r>
    </w:p>
    <w:p w:rsidR="005D7553" w:rsidRPr="005D7553" w:rsidRDefault="005D7553" w:rsidP="005D7553">
      <w:pPr>
        <w:ind w:left="113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D7553">
        <w:rPr>
          <w:rFonts w:ascii="Times New Roman" w:hAnsi="Times New Roman" w:cs="Times New Roman"/>
          <w:b/>
          <w:color w:val="FF0000"/>
          <w:sz w:val="32"/>
          <w:szCs w:val="32"/>
        </w:rPr>
        <w:t>Jeudi 4 avril, 17</w:t>
      </w:r>
      <w:r w:rsidRPr="005D755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h 3</w:t>
      </w:r>
      <w:r w:rsidRPr="005D7553">
        <w:rPr>
          <w:rFonts w:ascii="Times New Roman" w:hAnsi="Times New Roman" w:cs="Times New Roman"/>
          <w:b/>
          <w:color w:val="FF0000"/>
          <w:sz w:val="32"/>
          <w:szCs w:val="32"/>
        </w:rPr>
        <w:t>0 au siège de l’Académie</w:t>
      </w:r>
    </w:p>
    <w:p w:rsidR="005D7553" w:rsidRPr="005D7553" w:rsidRDefault="005D7553" w:rsidP="005D7553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553">
        <w:rPr>
          <w:rFonts w:ascii="Times New Roman" w:hAnsi="Times New Roman" w:cs="Times New Roman"/>
          <w:b/>
          <w:sz w:val="32"/>
          <w:szCs w:val="32"/>
        </w:rPr>
        <w:t xml:space="preserve">Communication de </w:t>
      </w:r>
      <w:r w:rsidRPr="005D7553">
        <w:rPr>
          <w:rFonts w:ascii="Times New Roman" w:hAnsi="Times New Roman" w:cs="Times New Roman"/>
          <w:b/>
          <w:color w:val="000099"/>
          <w:sz w:val="32"/>
          <w:szCs w:val="32"/>
        </w:rPr>
        <w:t>William MAROIS</w:t>
      </w:r>
    </w:p>
    <w:p w:rsidR="005D7553" w:rsidRPr="005D7553" w:rsidRDefault="005D7553" w:rsidP="005D7553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553">
        <w:rPr>
          <w:rFonts w:ascii="Times New Roman" w:hAnsi="Times New Roman" w:cs="Times New Roman"/>
          <w:b/>
          <w:color w:val="006600"/>
          <w:sz w:val="32"/>
          <w:szCs w:val="32"/>
        </w:rPr>
        <w:t>Ne laisser personne au bord du chemin, cœur de notre mission</w:t>
      </w:r>
    </w:p>
    <w:p w:rsidR="005D7553" w:rsidRPr="005D7553" w:rsidRDefault="005D7553" w:rsidP="005D7553">
      <w:pPr>
        <w:rPr>
          <w:rFonts w:ascii="Times New Roman" w:hAnsi="Times New Roman" w:cs="Times New Roman"/>
        </w:rPr>
      </w:pPr>
    </w:p>
    <w:p w:rsidR="005D7553" w:rsidRPr="005D7553" w:rsidRDefault="005D7553" w:rsidP="005D7553">
      <w:pPr>
        <w:rPr>
          <w:rFonts w:ascii="Times New Roman" w:hAnsi="Times New Roman" w:cs="Times New Roman"/>
        </w:rPr>
      </w:pPr>
      <w:bookmarkStart w:id="0" w:name="_GoBack"/>
      <w:bookmarkEnd w:id="0"/>
    </w:p>
    <w:p w:rsidR="005D7553" w:rsidRPr="005D7553" w:rsidRDefault="005D7553" w:rsidP="005D7553">
      <w:pPr>
        <w:rPr>
          <w:rFonts w:ascii="Times New Roman" w:hAnsi="Times New Roman" w:cs="Times New Roman"/>
        </w:rPr>
      </w:pPr>
    </w:p>
    <w:p w:rsidR="005D7553" w:rsidRPr="005D7553" w:rsidRDefault="005D7553" w:rsidP="005D7553">
      <w:pPr>
        <w:ind w:left="1134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5D7553">
        <w:rPr>
          <w:rFonts w:ascii="Times New Roman" w:hAnsi="Times New Roman" w:cs="Times New Roman"/>
          <w:sz w:val="36"/>
          <w:szCs w:val="36"/>
        </w:rPr>
        <w:t>Ne laisser personne au bord du chemin: cœur de notre mission</w:t>
      </w:r>
    </w:p>
    <w:p w:rsidR="005D7553" w:rsidRPr="005D7553" w:rsidRDefault="005D7553" w:rsidP="005D7553">
      <w:pPr>
        <w:ind w:left="1134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5D7553">
        <w:rPr>
          <w:rFonts w:ascii="Times New Roman" w:hAnsi="Times New Roman" w:cs="Times New Roman"/>
          <w:sz w:val="36"/>
          <w:szCs w:val="36"/>
        </w:rPr>
        <w:t>Cette conférence se situe dans la suite de la conférence du mois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d’octobre consacrée à « Douze années d’évolution du système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éducatif » et de sa conclusion: « Ne laisser personne au bord du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chemin est donc essentiel ».</w:t>
      </w:r>
    </w:p>
    <w:p w:rsidR="005D7553" w:rsidRPr="005D7553" w:rsidRDefault="005D7553" w:rsidP="005D7553">
      <w:pPr>
        <w:ind w:left="1134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5D7553">
        <w:rPr>
          <w:rFonts w:ascii="Times New Roman" w:hAnsi="Times New Roman" w:cs="Times New Roman"/>
          <w:sz w:val="36"/>
          <w:szCs w:val="36"/>
        </w:rPr>
        <w:t>La présente conférence, partant de cette conclusion, présente les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différents dispositifs mis en place pour atteindre cet objectif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d’égalité des chances en commençant par ceux déjà existants mais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 xml:space="preserve">pour lesquels des progrès sont encore à 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réaliser comme la maîtrise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des fondamentaux ou l’éducation prioritaire.</w:t>
      </w:r>
    </w:p>
    <w:p w:rsidR="00A30BE0" w:rsidRPr="005D7553" w:rsidRDefault="005D7553" w:rsidP="005D7553">
      <w:pPr>
        <w:ind w:left="1134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5D7553">
        <w:rPr>
          <w:rFonts w:ascii="Times New Roman" w:hAnsi="Times New Roman" w:cs="Times New Roman"/>
          <w:sz w:val="36"/>
          <w:szCs w:val="36"/>
        </w:rPr>
        <w:t>On s’attachera ensuite à des problématiques pour lesquelles de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lourds défis restent à relever comme le harcèlement ou le</w:t>
      </w:r>
      <w:r w:rsidRPr="005D7553">
        <w:rPr>
          <w:rFonts w:ascii="Times New Roman" w:hAnsi="Times New Roman" w:cs="Times New Roman"/>
          <w:sz w:val="36"/>
          <w:szCs w:val="36"/>
        </w:rPr>
        <w:t xml:space="preserve"> </w:t>
      </w:r>
      <w:r w:rsidRPr="005D7553">
        <w:rPr>
          <w:rFonts w:ascii="Times New Roman" w:hAnsi="Times New Roman" w:cs="Times New Roman"/>
          <w:sz w:val="36"/>
          <w:szCs w:val="36"/>
        </w:rPr>
        <w:t>décrochage scolaire.</w:t>
      </w:r>
    </w:p>
    <w:sectPr w:rsidR="00A30BE0" w:rsidRPr="005D7553" w:rsidSect="005D7553">
      <w:pgSz w:w="11906" w:h="16838"/>
      <w:pgMar w:top="426" w:right="155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53"/>
    <w:rsid w:val="00354053"/>
    <w:rsid w:val="004A0C51"/>
    <w:rsid w:val="004C26FA"/>
    <w:rsid w:val="005D7553"/>
    <w:rsid w:val="00A61253"/>
    <w:rsid w:val="00E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30A7-7C50-48C3-BDEF-3307804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2</cp:revision>
  <dcterms:created xsi:type="dcterms:W3CDTF">2024-03-26T17:54:00Z</dcterms:created>
  <dcterms:modified xsi:type="dcterms:W3CDTF">2024-03-26T17:54:00Z</dcterms:modified>
</cp:coreProperties>
</file>