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3D" w:rsidRDefault="006456CB" w:rsidP="006456CB">
      <w:pPr>
        <w:jc w:val="center"/>
        <w:rPr>
          <w:rFonts w:ascii="Garamond" w:hAnsi="Garamond"/>
        </w:rPr>
      </w:pPr>
      <w:r>
        <w:rPr>
          <w:noProof/>
          <w:lang w:eastAsia="fr-FR"/>
        </w:rPr>
        <w:drawing>
          <wp:inline distT="0" distB="0" distL="0" distR="0" wp14:anchorId="49283FE9" wp14:editId="2828BBB7">
            <wp:extent cx="2009775" cy="970915"/>
            <wp:effectExtent l="0" t="0" r="9525" b="635"/>
            <wp:docPr id="1" name="Image 1" descr="C:\08-Académie\images\1-logo_academie-105-x-50-marron-sans-d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08-Académie\images\1-logo_academie-105-x-50-marron-sans-d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3D" w:rsidRDefault="00A45E63" w:rsidP="00A45E63">
      <w:pPr>
        <w:jc w:val="center"/>
        <w:rPr>
          <w:rFonts w:ascii="Garamond" w:hAnsi="Garamond"/>
          <w:b/>
        </w:rPr>
      </w:pPr>
      <w:r w:rsidRPr="00A45E63">
        <w:rPr>
          <w:rFonts w:ascii="Garamond" w:hAnsi="Garamond"/>
          <w:b/>
        </w:rPr>
        <w:t>Université d’Orléans UFR DEG Amphi Veil</w:t>
      </w:r>
    </w:p>
    <w:p w:rsidR="00A45E63" w:rsidRPr="00A45E63" w:rsidRDefault="00A45E63" w:rsidP="00A45E6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11 rue de Blois 45100 Orléans </w:t>
      </w:r>
    </w:p>
    <w:p w:rsidR="00811F32" w:rsidRPr="006456CB" w:rsidRDefault="00811F32" w:rsidP="006456CB">
      <w:pPr>
        <w:jc w:val="center"/>
        <w:rPr>
          <w:rFonts w:ascii="Garamond" w:hAnsi="Garamond"/>
          <w:b/>
          <w:sz w:val="48"/>
          <w:szCs w:val="48"/>
        </w:rPr>
      </w:pPr>
      <w:r w:rsidRPr="006456CB">
        <w:rPr>
          <w:rFonts w:ascii="Garamond" w:hAnsi="Garamond"/>
          <w:b/>
          <w:sz w:val="48"/>
          <w:szCs w:val="48"/>
        </w:rPr>
        <w:t>Enseigner le droit à Orléans au M</w:t>
      </w:r>
      <w:r w:rsidR="006456CB">
        <w:rPr>
          <w:rFonts w:ascii="Garamond" w:hAnsi="Garamond"/>
          <w:b/>
          <w:sz w:val="48"/>
          <w:szCs w:val="48"/>
        </w:rPr>
        <w:t xml:space="preserve">oyen </w:t>
      </w:r>
      <w:r w:rsidRPr="006456CB">
        <w:rPr>
          <w:rFonts w:ascii="Garamond" w:hAnsi="Garamond"/>
          <w:b/>
          <w:sz w:val="48"/>
          <w:szCs w:val="48"/>
        </w:rPr>
        <w:t>A</w:t>
      </w:r>
      <w:r w:rsidR="006456CB">
        <w:rPr>
          <w:rFonts w:ascii="Garamond" w:hAnsi="Garamond"/>
          <w:b/>
          <w:sz w:val="48"/>
          <w:szCs w:val="48"/>
        </w:rPr>
        <w:t>ge</w:t>
      </w:r>
    </w:p>
    <w:p w:rsidR="00811F32" w:rsidRPr="00D63B3D" w:rsidRDefault="00811F32" w:rsidP="00811F32">
      <w:pPr>
        <w:rPr>
          <w:rFonts w:ascii="Garamond" w:hAnsi="Garamond"/>
        </w:rPr>
      </w:pPr>
    </w:p>
    <w:p w:rsidR="00811F32" w:rsidRPr="00D63B3D" w:rsidRDefault="00811F32" w:rsidP="006456CB">
      <w:pPr>
        <w:jc w:val="center"/>
        <w:rPr>
          <w:rFonts w:ascii="Garamond" w:hAnsi="Garamond"/>
        </w:rPr>
      </w:pPr>
      <w:r w:rsidRPr="006456CB">
        <w:rPr>
          <w:rFonts w:ascii="Garamond" w:hAnsi="Garamond"/>
          <w:b/>
          <w:sz w:val="36"/>
          <w:szCs w:val="36"/>
        </w:rPr>
        <w:t>Marie Bassano</w:t>
      </w:r>
      <w:r w:rsidR="00A45E63">
        <w:rPr>
          <w:rStyle w:val="Appelnotedebasdep"/>
          <w:rFonts w:ascii="Garamond" w:hAnsi="Garamond"/>
          <w:b/>
          <w:sz w:val="36"/>
          <w:szCs w:val="36"/>
        </w:rPr>
        <w:footnoteReference w:id="1"/>
      </w:r>
    </w:p>
    <w:p w:rsidR="00811F32" w:rsidRPr="00D63B3D" w:rsidRDefault="00811F32" w:rsidP="00811F32">
      <w:pPr>
        <w:rPr>
          <w:rFonts w:ascii="Garamond" w:hAnsi="Garamond"/>
        </w:rPr>
      </w:pPr>
      <w:bookmarkStart w:id="0" w:name="_GoBack"/>
      <w:bookmarkEnd w:id="0"/>
    </w:p>
    <w:p w:rsidR="00811F32" w:rsidRPr="00D63B3D" w:rsidRDefault="00811F32" w:rsidP="00E32119">
      <w:pPr>
        <w:ind w:firstLine="284"/>
        <w:jc w:val="both"/>
        <w:rPr>
          <w:rFonts w:ascii="Garamond" w:hAnsi="Garamond"/>
        </w:rPr>
      </w:pPr>
      <w:r w:rsidRPr="00D63B3D">
        <w:rPr>
          <w:rFonts w:ascii="Garamond" w:hAnsi="Garamond"/>
        </w:rPr>
        <w:t>En 1235, le pape Grégoire IX autorise l’évêque d’Orléans à laisser se dérouler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l’enseignement du droit romain qui s’est installé dans sa ville. C’est là la première trace connue de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l’école juridique orléanaise, appelé à connaître un brillant développement jusqu’au début du XIVe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siècle.</w:t>
      </w:r>
    </w:p>
    <w:p w:rsidR="00D63B3D" w:rsidRDefault="00811F32" w:rsidP="00E32119">
      <w:pPr>
        <w:ind w:firstLine="284"/>
        <w:jc w:val="both"/>
        <w:rPr>
          <w:rFonts w:ascii="Garamond" w:hAnsi="Garamond"/>
        </w:rPr>
      </w:pPr>
      <w:r w:rsidRPr="00D63B3D">
        <w:rPr>
          <w:rFonts w:ascii="Garamond" w:hAnsi="Garamond"/>
        </w:rPr>
        <w:t xml:space="preserve">Si les raisons de l’installation d’une école de droit romain à Orléans </w:t>
      </w:r>
      <w:proofErr w:type="gramStart"/>
      <w:r w:rsidRPr="00D63B3D">
        <w:rPr>
          <w:rFonts w:ascii="Garamond" w:hAnsi="Garamond"/>
        </w:rPr>
        <w:t>reste</w:t>
      </w:r>
      <w:proofErr w:type="gramEnd"/>
      <w:r w:rsidRPr="00D63B3D">
        <w:rPr>
          <w:rFonts w:ascii="Garamond" w:hAnsi="Garamond"/>
        </w:rPr>
        <w:t xml:space="preserve"> encore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aujourd’hui mystérieuses, le succès est pourtant rapide. La seconde moitié du XIIIe siècle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constitue l’âge d’or de l’école médiévale orléanaise, puisque c’est l’unique moment de son histoire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où les écrits de l’école rayonnent et supplantent même doctrinalement ceux de la grande rivale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qu’est l’Université de Bologne. La période n’est pas seulement celle du siècle orléanais, elle est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aussi un moment primordial dans l’histoire de la science juridique, coïncidant avec un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changement méthodologique de premier ordre dans l’enseignement du droit, et un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renouvellement considérable de la doctrine juridique, dans le fond comme dans la forme.</w:t>
      </w:r>
      <w:r w:rsidR="00D63B3D">
        <w:rPr>
          <w:rFonts w:ascii="Garamond" w:hAnsi="Garamond"/>
        </w:rPr>
        <w:t xml:space="preserve"> </w:t>
      </w:r>
    </w:p>
    <w:p w:rsidR="00811F32" w:rsidRPr="00D63B3D" w:rsidRDefault="00811F32" w:rsidP="00E32119">
      <w:pPr>
        <w:ind w:firstLine="284"/>
        <w:jc w:val="both"/>
        <w:rPr>
          <w:rFonts w:ascii="Garamond" w:hAnsi="Garamond"/>
        </w:rPr>
      </w:pPr>
      <w:r w:rsidRPr="00D63B3D">
        <w:rPr>
          <w:rFonts w:ascii="Garamond" w:hAnsi="Garamond"/>
        </w:rPr>
        <w:t>La part prise par l’Ecole d’Orléans dans ce renouvellement des concepts et méthodes, est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 xml:space="preserve">fondamentale. Véritable école de la contre-école, revivifiant des traditions antérieures </w:t>
      </w:r>
      <w:proofErr w:type="gramStart"/>
      <w:r w:rsidRPr="00D63B3D">
        <w:rPr>
          <w:rFonts w:ascii="Garamond" w:hAnsi="Garamond"/>
        </w:rPr>
        <w:t>écartés</w:t>
      </w:r>
      <w:proofErr w:type="gramEnd"/>
      <w:r w:rsidRPr="00D63B3D">
        <w:rPr>
          <w:rFonts w:ascii="Garamond" w:hAnsi="Garamond"/>
        </w:rPr>
        <w:t xml:space="preserve"> par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les juristes nord-italiens, l’enseignement orléanais renouvelle les outils pédagogiques,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linguistiques, logiques à l’œuvre dans l’apprentissage juridique, débouchant sur une analyse des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textes civilistes ou canoniques profondément originale et détachée de la doctrine antérieure.</w:t>
      </w:r>
    </w:p>
    <w:p w:rsidR="00811F32" w:rsidRPr="00D63B3D" w:rsidRDefault="00811F32" w:rsidP="00E32119">
      <w:pPr>
        <w:ind w:firstLine="284"/>
        <w:jc w:val="both"/>
        <w:rPr>
          <w:rFonts w:ascii="Garamond" w:hAnsi="Garamond"/>
        </w:rPr>
      </w:pPr>
      <w:r w:rsidRPr="00D63B3D">
        <w:rPr>
          <w:rFonts w:ascii="Garamond" w:hAnsi="Garamond"/>
        </w:rPr>
        <w:t>Cette seconde moitié du XIIIe siècle se caractérise également, à l’école d’Orléans, par l’engouement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formidable de plusieurs générations d’étudiants pour les carrières de la haute administration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publique, qu’elle soit royale ou ecclésiastique : les maîtres y dispensent à leurs étudiants, non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seulement un savoir, mais aussi un savoir-faire de techniques réutilisables dans la pratique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professionnelle, construisant progressivement une doctrine de la puissance publique, qui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explique l’attrait des étudiants pour ces carrières d’administrateurs.</w:t>
      </w:r>
    </w:p>
    <w:p w:rsidR="00811F32" w:rsidRPr="00D63B3D" w:rsidRDefault="00811F32" w:rsidP="00E32119">
      <w:pPr>
        <w:ind w:firstLine="284"/>
        <w:jc w:val="both"/>
        <w:rPr>
          <w:rFonts w:ascii="Garamond" w:hAnsi="Garamond"/>
        </w:rPr>
      </w:pPr>
      <w:r w:rsidRPr="00D63B3D">
        <w:rPr>
          <w:rFonts w:ascii="Garamond" w:hAnsi="Garamond"/>
        </w:rPr>
        <w:t>Sur tous ces points, la pensée orléanaise résulte d’une combinaison originale entre la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reprise de doctrines anciennes et des apports neufs produits par les docteurs d’Orléans. Les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Orléanais de la période ne sont souvent pas les inventeurs des méthodes qu’ils utilisent ou des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concepts qu’ils manient. Leurs réflexions s’élaborent et se nourrissent d’un terreau classique. Mais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leur originalité réside dans le mélange, dans l’équilibre qu’ils trouvent dans le maniement de ces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diverses techniques et doctrines reçues en héritage, et dans l’adaptation qu’ils en font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continuellement face à l’évolution des cadres de la pensée du temps.</w:t>
      </w:r>
    </w:p>
    <w:p w:rsidR="00357C70" w:rsidRPr="00D63B3D" w:rsidRDefault="00811F32" w:rsidP="00E32119">
      <w:pPr>
        <w:ind w:firstLine="284"/>
        <w:jc w:val="both"/>
        <w:rPr>
          <w:rFonts w:ascii="Garamond" w:hAnsi="Garamond"/>
        </w:rPr>
      </w:pPr>
      <w:r w:rsidRPr="00D63B3D">
        <w:rPr>
          <w:rFonts w:ascii="Garamond" w:hAnsi="Garamond"/>
        </w:rPr>
        <w:t>Si l’étude spécifique de cette école a valeur, ce n’est pas tant comme édification d’un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modèle, que comme prisme à travers lequel percevoir l’éducation et la culture de tous les grands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commis du pouvoir royal et de l’administration ecclésiale au XIIIe siècle. Le cas orléanais permet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de saisir les connaissances, l’habitus et le sens de la chose publique que les étudiants passés par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les bancs de l’école à la fin du XIIIe siècle ont reçu en partage ; il permet aussi de saisir ce qu’il y a</w:t>
      </w:r>
      <w:r w:rsidR="00D63B3D">
        <w:rPr>
          <w:rFonts w:ascii="Garamond" w:hAnsi="Garamond"/>
        </w:rPr>
        <w:t xml:space="preserve"> </w:t>
      </w:r>
      <w:r w:rsidRPr="00D63B3D">
        <w:rPr>
          <w:rFonts w:ascii="Garamond" w:hAnsi="Garamond"/>
        </w:rPr>
        <w:t>de général, voire d’universel, dans la formation de ces grands administrateurs.</w:t>
      </w:r>
    </w:p>
    <w:sectPr w:rsidR="00357C70" w:rsidRPr="00D63B3D" w:rsidSect="00A45E63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E0" w:rsidRDefault="007625E0" w:rsidP="00D63B3D">
      <w:pPr>
        <w:spacing w:after="0" w:line="240" w:lineRule="auto"/>
      </w:pPr>
      <w:r>
        <w:separator/>
      </w:r>
    </w:p>
  </w:endnote>
  <w:endnote w:type="continuationSeparator" w:id="0">
    <w:p w:rsidR="007625E0" w:rsidRDefault="007625E0" w:rsidP="00D6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E0" w:rsidRDefault="007625E0" w:rsidP="00D63B3D">
      <w:pPr>
        <w:spacing w:after="0" w:line="240" w:lineRule="auto"/>
      </w:pPr>
      <w:r>
        <w:separator/>
      </w:r>
    </w:p>
  </w:footnote>
  <w:footnote w:type="continuationSeparator" w:id="0">
    <w:p w:rsidR="007625E0" w:rsidRDefault="007625E0" w:rsidP="00D63B3D">
      <w:pPr>
        <w:spacing w:after="0" w:line="240" w:lineRule="auto"/>
      </w:pPr>
      <w:r>
        <w:continuationSeparator/>
      </w:r>
    </w:p>
  </w:footnote>
  <w:footnote w:id="1">
    <w:p w:rsidR="00A45E63" w:rsidRPr="00D63B3D" w:rsidRDefault="00A45E63" w:rsidP="00A45E63">
      <w:pPr>
        <w:pStyle w:val="Sansinterligne"/>
        <w:rPr>
          <w:rFonts w:ascii="Garamond" w:hAnsi="Garamond"/>
        </w:rPr>
      </w:pPr>
      <w:r>
        <w:rPr>
          <w:rStyle w:val="Appelnotedebasdep"/>
        </w:rPr>
        <w:footnoteRef/>
      </w:r>
      <w:r>
        <w:t xml:space="preserve"> </w:t>
      </w:r>
      <w:r w:rsidRPr="00D63B3D">
        <w:rPr>
          <w:rFonts w:ascii="Garamond" w:hAnsi="Garamond"/>
        </w:rPr>
        <w:t xml:space="preserve">Professeure Université Toulouse Capitole </w:t>
      </w:r>
    </w:p>
    <w:p w:rsidR="00A45E63" w:rsidRPr="00D63B3D" w:rsidRDefault="00A45E63" w:rsidP="00A45E63">
      <w:pPr>
        <w:pStyle w:val="Sansinterligne"/>
        <w:rPr>
          <w:rFonts w:ascii="Garamond" w:hAnsi="Garamond"/>
        </w:rPr>
      </w:pPr>
      <w:proofErr w:type="gramStart"/>
      <w:r w:rsidRPr="00D63B3D">
        <w:rPr>
          <w:rFonts w:ascii="Garamond" w:hAnsi="Garamond"/>
        </w:rPr>
        <w:t>le</w:t>
      </w:r>
      <w:proofErr w:type="gramEnd"/>
      <w:r w:rsidRPr="00D63B3D">
        <w:rPr>
          <w:rFonts w:ascii="Garamond" w:hAnsi="Garamond"/>
        </w:rPr>
        <w:t xml:space="preserve"> 9 novembre 2023 – Académie d’Orléans, SAHO – Université d’Orléans, Amphi Veil</w:t>
      </w:r>
    </w:p>
    <w:p w:rsidR="00A45E63" w:rsidRDefault="00A45E63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sDel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32"/>
    <w:rsid w:val="00357C70"/>
    <w:rsid w:val="006456CB"/>
    <w:rsid w:val="007625E0"/>
    <w:rsid w:val="00811F32"/>
    <w:rsid w:val="00A45E63"/>
    <w:rsid w:val="00D63B3D"/>
    <w:rsid w:val="00E3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013F3-B6CE-46F4-8F81-C4D979CE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3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3B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3B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3B3D"/>
    <w:rPr>
      <w:vertAlign w:val="superscript"/>
    </w:rPr>
  </w:style>
  <w:style w:type="paragraph" w:styleId="Sansinterligne">
    <w:name w:val="No Spacing"/>
    <w:uiPriority w:val="1"/>
    <w:qFormat/>
    <w:rsid w:val="00D63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BAED-F04D-434C-A0AF-1FE7E2C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4</cp:revision>
  <cp:lastPrinted>2023-10-24T20:32:00Z</cp:lastPrinted>
  <dcterms:created xsi:type="dcterms:W3CDTF">2023-10-24T20:21:00Z</dcterms:created>
  <dcterms:modified xsi:type="dcterms:W3CDTF">2023-10-24T20:32:00Z</dcterms:modified>
</cp:coreProperties>
</file>