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48"/>
          <w:szCs w:val="48"/>
        </w:rPr>
      </w:pPr>
      <w:r w:rsidRPr="00FA2C29">
        <w:rPr>
          <w:rFonts w:ascii="Garamond" w:hAnsi="Garamond"/>
          <w:noProof/>
          <w:lang w:eastAsia="fr-FR"/>
        </w:rPr>
        <w:drawing>
          <wp:inline distT="0" distB="0" distL="0" distR="0" wp14:anchorId="29C35D47" wp14:editId="46DE2BCF">
            <wp:extent cx="1930400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48"/>
          <w:szCs w:val="48"/>
        </w:rPr>
      </w:pP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48"/>
          <w:szCs w:val="48"/>
        </w:rPr>
      </w:pPr>
      <w:r w:rsidRPr="0049042B">
        <w:rPr>
          <w:rFonts w:ascii="Garamond" w:hAnsi="Garamond" w:cs="CIDFont+F1"/>
          <w:b/>
          <w:sz w:val="48"/>
          <w:szCs w:val="48"/>
        </w:rPr>
        <w:t>Du XIX</w:t>
      </w:r>
      <w:r w:rsidRPr="0049042B">
        <w:rPr>
          <w:rFonts w:ascii="Garamond" w:hAnsi="Garamond" w:cs="CIDFont+F1"/>
          <w:b/>
          <w:sz w:val="48"/>
          <w:szCs w:val="48"/>
          <w:vertAlign w:val="superscript"/>
        </w:rPr>
        <w:t>e</w:t>
      </w:r>
      <w:r w:rsidRPr="0049042B">
        <w:rPr>
          <w:rFonts w:ascii="Garamond" w:hAnsi="Garamond" w:cs="CIDFont+F1"/>
          <w:b/>
          <w:sz w:val="48"/>
          <w:szCs w:val="48"/>
        </w:rPr>
        <w:t xml:space="preserve">  </w:t>
      </w:r>
      <w:r w:rsidRPr="0049042B">
        <w:rPr>
          <w:rFonts w:ascii="Garamond" w:hAnsi="Garamond" w:cs="CIDFont+F1"/>
          <w:b/>
          <w:sz w:val="48"/>
          <w:szCs w:val="48"/>
        </w:rPr>
        <w:t xml:space="preserve">siècle à nos jours, </w:t>
      </w: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48"/>
          <w:szCs w:val="48"/>
        </w:rPr>
      </w:pPr>
      <w:proofErr w:type="gramStart"/>
      <w:r w:rsidRPr="0049042B">
        <w:rPr>
          <w:rFonts w:ascii="Garamond" w:hAnsi="Garamond" w:cs="CIDFont+F1"/>
          <w:b/>
          <w:sz w:val="48"/>
          <w:szCs w:val="48"/>
        </w:rPr>
        <w:t>quelques</w:t>
      </w:r>
      <w:proofErr w:type="gramEnd"/>
      <w:r w:rsidRPr="0049042B">
        <w:rPr>
          <w:rFonts w:ascii="Garamond" w:hAnsi="Garamond" w:cs="CIDFont+F1"/>
          <w:b/>
          <w:sz w:val="48"/>
          <w:szCs w:val="48"/>
        </w:rPr>
        <w:t xml:space="preserve"> mots sur le logement social à Orléans</w:t>
      </w:r>
      <w:r>
        <w:rPr>
          <w:rFonts w:ascii="Garamond" w:hAnsi="Garamond" w:cs="CIDFont+F1"/>
          <w:b/>
          <w:sz w:val="48"/>
          <w:szCs w:val="48"/>
        </w:rPr>
        <w:t> ;</w:t>
      </w:r>
      <w:bookmarkStart w:id="0" w:name="_GoBack"/>
      <w:bookmarkEnd w:id="0"/>
      <w:r>
        <w:rPr>
          <w:rFonts w:ascii="Garamond" w:hAnsi="Garamond" w:cs="CIDFont+F1"/>
          <w:b/>
          <w:sz w:val="48"/>
          <w:szCs w:val="48"/>
        </w:rPr>
        <w:t xml:space="preserve"> </w:t>
      </w:r>
      <w:r w:rsidRPr="0049042B">
        <w:rPr>
          <w:rFonts w:ascii="Garamond" w:hAnsi="Garamond" w:cs="CIDFont+F1"/>
          <w:b/>
          <w:sz w:val="48"/>
          <w:szCs w:val="48"/>
        </w:rPr>
        <w:t>1</w:t>
      </w:r>
      <w:r w:rsidRPr="0049042B">
        <w:rPr>
          <w:rFonts w:ascii="Garamond" w:hAnsi="Garamond" w:cs="CIDFont+F1"/>
          <w:b/>
          <w:sz w:val="48"/>
          <w:szCs w:val="48"/>
          <w:vertAlign w:val="superscript"/>
        </w:rPr>
        <w:t>e</w:t>
      </w:r>
      <w:r w:rsidRPr="0049042B">
        <w:rPr>
          <w:rFonts w:ascii="Garamond" w:hAnsi="Garamond" w:cs="CIDFont+F1"/>
          <w:b/>
          <w:sz w:val="48"/>
          <w:szCs w:val="48"/>
        </w:rPr>
        <w:t xml:space="preserve"> période</w:t>
      </w:r>
      <w:r>
        <w:rPr>
          <w:rFonts w:ascii="Garamond" w:hAnsi="Garamond" w:cs="CIDFont+F1"/>
          <w:b/>
          <w:sz w:val="48"/>
          <w:szCs w:val="48"/>
        </w:rPr>
        <w:t xml:space="preserve"> </w:t>
      </w:r>
      <w:r w:rsidRPr="0049042B">
        <w:rPr>
          <w:rFonts w:ascii="Garamond" w:hAnsi="Garamond" w:cs="CIDFont+F1"/>
          <w:b/>
          <w:sz w:val="48"/>
          <w:szCs w:val="48"/>
        </w:rPr>
        <w:t>:</w:t>
      </w:r>
      <w:r>
        <w:rPr>
          <w:rFonts w:ascii="Garamond" w:hAnsi="Garamond" w:cs="CIDFont+F1"/>
          <w:b/>
          <w:sz w:val="48"/>
          <w:szCs w:val="48"/>
        </w:rPr>
        <w:t xml:space="preserve"> </w:t>
      </w:r>
      <w:r w:rsidRPr="0049042B">
        <w:rPr>
          <w:rFonts w:ascii="Garamond" w:hAnsi="Garamond" w:cs="CIDFont+F1"/>
          <w:b/>
          <w:sz w:val="48"/>
          <w:szCs w:val="48"/>
        </w:rPr>
        <w:t>1850-1950</w:t>
      </w: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b/>
          <w:sz w:val="48"/>
          <w:szCs w:val="48"/>
        </w:rPr>
      </w:pP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b/>
          <w:sz w:val="48"/>
          <w:szCs w:val="48"/>
        </w:rPr>
      </w:pP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48"/>
          <w:szCs w:val="48"/>
        </w:rPr>
      </w:pPr>
      <w:r>
        <w:rPr>
          <w:rFonts w:ascii="Garamond" w:hAnsi="Garamond" w:cs="CIDFont+F1"/>
          <w:b/>
          <w:sz w:val="48"/>
          <w:szCs w:val="48"/>
        </w:rPr>
        <w:t xml:space="preserve">Isabelle </w:t>
      </w:r>
      <w:proofErr w:type="spellStart"/>
      <w:r>
        <w:rPr>
          <w:rFonts w:ascii="Garamond" w:hAnsi="Garamond" w:cs="CIDFont+F1"/>
          <w:b/>
          <w:sz w:val="48"/>
          <w:szCs w:val="48"/>
        </w:rPr>
        <w:t>Baranger</w:t>
      </w:r>
      <w:proofErr w:type="spellEnd"/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</w:p>
    <w:p w:rsidR="0049042B" w:rsidRP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</w:p>
    <w:p w:rsidR="0049042B" w:rsidRP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color w:val="FF0000"/>
          <w:sz w:val="32"/>
          <w:szCs w:val="32"/>
        </w:rPr>
      </w:pPr>
      <w:r w:rsidRPr="0049042B">
        <w:rPr>
          <w:rFonts w:ascii="Garamond" w:hAnsi="Garamond" w:cs="CIDFont+F1"/>
          <w:b/>
          <w:color w:val="FF0000"/>
          <w:sz w:val="32"/>
          <w:szCs w:val="32"/>
        </w:rPr>
        <w:t>Jeudi 16 décembre 2021</w:t>
      </w: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color w:val="990000"/>
          <w:sz w:val="32"/>
          <w:szCs w:val="32"/>
        </w:rPr>
      </w:pPr>
      <w:r w:rsidRPr="0049042B">
        <w:rPr>
          <w:rFonts w:ascii="Garamond" w:hAnsi="Garamond" w:cs="CIDFont+F1"/>
          <w:b/>
          <w:color w:val="990000"/>
          <w:sz w:val="32"/>
          <w:szCs w:val="32"/>
        </w:rPr>
        <w:t>Académie  rue Antoine Petit  Orléans</w:t>
      </w:r>
    </w:p>
    <w:p w:rsid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color w:val="990000"/>
          <w:sz w:val="32"/>
          <w:szCs w:val="32"/>
        </w:rPr>
      </w:pPr>
    </w:p>
    <w:p w:rsidR="0049042B" w:rsidRPr="0049042B" w:rsidRDefault="0049042B" w:rsidP="004904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color w:val="990000"/>
          <w:sz w:val="32"/>
          <w:szCs w:val="32"/>
        </w:rPr>
      </w:pPr>
    </w:p>
    <w:p w:rsidR="0049042B" w:rsidRPr="0049042B" w:rsidRDefault="0049042B" w:rsidP="0049042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aramond" w:hAnsi="Garamond" w:cs="CIDFont+F1"/>
          <w:sz w:val="28"/>
          <w:szCs w:val="28"/>
        </w:rPr>
      </w:pPr>
      <w:r w:rsidRPr="0049042B">
        <w:rPr>
          <w:rFonts w:ascii="Garamond" w:hAnsi="Garamond" w:cs="CIDFont+F1"/>
          <w:sz w:val="28"/>
          <w:szCs w:val="28"/>
        </w:rPr>
        <w:t>Indispensable à la vie, le logement est un des premier</w:t>
      </w:r>
      <w:r>
        <w:rPr>
          <w:rFonts w:ascii="Garamond" w:hAnsi="Garamond" w:cs="CIDFont+F1"/>
          <w:sz w:val="28"/>
          <w:szCs w:val="28"/>
        </w:rPr>
        <w:t>s facteurs de santé. Dès le XIX</w:t>
      </w:r>
      <w:r w:rsidRPr="0049042B">
        <w:rPr>
          <w:rFonts w:ascii="Garamond" w:hAnsi="Garamond" w:cs="CIDFont+F1"/>
          <w:sz w:val="28"/>
          <w:szCs w:val="28"/>
          <w:vertAlign w:val="superscript"/>
        </w:rPr>
        <w:t>e</w:t>
      </w:r>
      <w:r>
        <w:rPr>
          <w:rFonts w:ascii="Garamond" w:hAnsi="Garamond" w:cs="CIDFont+F1"/>
          <w:sz w:val="28"/>
          <w:szCs w:val="28"/>
        </w:rPr>
        <w:t>,</w:t>
      </w:r>
    </w:p>
    <w:p w:rsidR="0049042B" w:rsidRPr="0049042B" w:rsidRDefault="0049042B" w:rsidP="00490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1"/>
          <w:sz w:val="28"/>
          <w:szCs w:val="28"/>
        </w:rPr>
      </w:pPr>
      <w:proofErr w:type="gramStart"/>
      <w:r w:rsidRPr="0049042B">
        <w:rPr>
          <w:rFonts w:ascii="Garamond" w:hAnsi="Garamond" w:cs="CIDFont+F1"/>
          <w:sz w:val="28"/>
          <w:szCs w:val="28"/>
        </w:rPr>
        <w:t>l'évolution</w:t>
      </w:r>
      <w:proofErr w:type="gramEnd"/>
      <w:r w:rsidRPr="0049042B">
        <w:rPr>
          <w:rFonts w:ascii="Garamond" w:hAnsi="Garamond" w:cs="CIDFont+F1"/>
          <w:sz w:val="28"/>
          <w:szCs w:val="28"/>
        </w:rPr>
        <w:t xml:space="preserve"> vers une urbanisation croissante rend insalubres</w:t>
      </w:r>
      <w:r w:rsidRPr="0049042B"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les trop rares logements citadins des classes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populaires.</w:t>
      </w:r>
    </w:p>
    <w:p w:rsidR="0049042B" w:rsidRDefault="0049042B" w:rsidP="0049042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aramond" w:hAnsi="Garamond" w:cs="CIDFont+F1"/>
          <w:sz w:val="28"/>
          <w:szCs w:val="28"/>
        </w:rPr>
      </w:pPr>
    </w:p>
    <w:p w:rsidR="0049042B" w:rsidRPr="0049042B" w:rsidRDefault="0049042B" w:rsidP="0049042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aramond" w:hAnsi="Garamond" w:cs="CIDFont+F1"/>
          <w:sz w:val="28"/>
          <w:szCs w:val="28"/>
        </w:rPr>
      </w:pPr>
      <w:r w:rsidRPr="0049042B">
        <w:rPr>
          <w:rFonts w:ascii="Garamond" w:hAnsi="Garamond" w:cs="CIDFont+F1"/>
          <w:sz w:val="28"/>
          <w:szCs w:val="28"/>
        </w:rPr>
        <w:t>Je souhaite vous parler,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depuis cette seconde partie du XIX</w:t>
      </w:r>
      <w:r w:rsidRPr="0049042B">
        <w:rPr>
          <w:rFonts w:ascii="Garamond" w:hAnsi="Garamond" w:cs="CIDFont+F1"/>
          <w:sz w:val="28"/>
          <w:szCs w:val="28"/>
          <w:vertAlign w:val="superscript"/>
        </w:rPr>
        <w:t>e</w:t>
      </w:r>
      <w:r w:rsidRPr="0049042B">
        <w:rPr>
          <w:rFonts w:ascii="Garamond" w:hAnsi="Garamond" w:cs="CIDFont+F1"/>
          <w:sz w:val="28"/>
          <w:szCs w:val="28"/>
        </w:rPr>
        <w:t xml:space="preserve"> siècle jusqu'à l'après-guerre de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1939-1945,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des mentalités, des initiatives privées de la part d'industriels orléanais, de la prise de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conscience des hommes politiques et ainsi de l'implication de la société, de l’État et des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collectivités. A partir des différentes lois, je parlerai de la déclinaison sur le plan local de ce qu'on</w:t>
      </w:r>
      <w:r>
        <w:rPr>
          <w:rFonts w:ascii="Garamond" w:hAnsi="Garamond" w:cs="CIDFont+F1"/>
          <w:sz w:val="28"/>
          <w:szCs w:val="28"/>
        </w:rPr>
        <w:t xml:space="preserve"> </w:t>
      </w:r>
      <w:r w:rsidRPr="0049042B">
        <w:rPr>
          <w:rFonts w:ascii="Garamond" w:hAnsi="Garamond" w:cs="CIDFont+F1"/>
          <w:sz w:val="28"/>
          <w:szCs w:val="28"/>
        </w:rPr>
        <w:t>appelle communément le « Logement Social ».</w:t>
      </w:r>
    </w:p>
    <w:p w:rsidR="0049042B" w:rsidRDefault="0049042B" w:rsidP="0049042B">
      <w:pPr>
        <w:spacing w:line="360" w:lineRule="auto"/>
        <w:ind w:firstLine="284"/>
        <w:jc w:val="both"/>
        <w:rPr>
          <w:rFonts w:ascii="Garamond" w:hAnsi="Garamond" w:cs="CIDFont+F1"/>
          <w:sz w:val="28"/>
          <w:szCs w:val="28"/>
        </w:rPr>
      </w:pPr>
    </w:p>
    <w:p w:rsidR="00DC4B2D" w:rsidRPr="0049042B" w:rsidRDefault="0049042B" w:rsidP="0049042B">
      <w:pPr>
        <w:spacing w:line="360" w:lineRule="auto"/>
        <w:ind w:firstLine="284"/>
        <w:jc w:val="both"/>
        <w:rPr>
          <w:rFonts w:ascii="Garamond" w:hAnsi="Garamond"/>
          <w:sz w:val="28"/>
          <w:szCs w:val="28"/>
        </w:rPr>
      </w:pPr>
      <w:r w:rsidRPr="0049042B">
        <w:rPr>
          <w:rFonts w:ascii="Garamond" w:hAnsi="Garamond" w:cs="CIDFont+F1"/>
          <w:sz w:val="28"/>
          <w:szCs w:val="28"/>
        </w:rPr>
        <w:t>Sujet très vaste, mon propos sera nécessairement lacunaire et réducteur.</w:t>
      </w:r>
    </w:p>
    <w:sectPr w:rsidR="00DC4B2D" w:rsidRPr="0049042B" w:rsidSect="0049042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2B"/>
    <w:rsid w:val="00207091"/>
    <w:rsid w:val="0049042B"/>
    <w:rsid w:val="00D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215A-2BDE-4BA9-92F3-F873CD9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dcterms:created xsi:type="dcterms:W3CDTF">2021-12-13T13:26:00Z</dcterms:created>
  <dcterms:modified xsi:type="dcterms:W3CDTF">2021-12-13T13:37:00Z</dcterms:modified>
</cp:coreProperties>
</file>