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11" w:rsidRDefault="008C7B11" w:rsidP="00E941AC">
      <w:pPr>
        <w:ind w:firstLine="284"/>
        <w:jc w:val="center"/>
        <w:rPr>
          <w:rFonts w:ascii="Garamond" w:hAnsi="Garamond" w:cs="CIDFont+F1"/>
          <w:b/>
          <w:sz w:val="48"/>
          <w:szCs w:val="48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0496DDB" wp14:editId="43013C91">
            <wp:extent cx="1857375" cy="838200"/>
            <wp:effectExtent l="0" t="0" r="9525" b="0"/>
            <wp:docPr id="1" name="Image 1" descr="C:\08-Académie\images\1-logo_academie-105-x-50-marron-sans-da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08-Académie\images\1-logo_academie-105-x-50-marron-sans-d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AC" w:rsidRPr="00E941AC" w:rsidRDefault="00E941AC" w:rsidP="00E941AC">
      <w:pPr>
        <w:ind w:firstLine="284"/>
        <w:jc w:val="center"/>
        <w:rPr>
          <w:rFonts w:ascii="Garamond" w:hAnsi="Garamond" w:cs="CIDFont+F1"/>
          <w:b/>
          <w:sz w:val="48"/>
          <w:szCs w:val="48"/>
        </w:rPr>
      </w:pPr>
      <w:r w:rsidRPr="00E941AC">
        <w:rPr>
          <w:rFonts w:ascii="Garamond" w:hAnsi="Garamond" w:cs="CIDFont+F1"/>
          <w:b/>
          <w:sz w:val="48"/>
          <w:szCs w:val="48"/>
        </w:rPr>
        <w:t>Le monde merveilleux de l’infiniment petit</w:t>
      </w:r>
    </w:p>
    <w:p w:rsidR="00E941AC" w:rsidRPr="00E941AC" w:rsidRDefault="00E941AC" w:rsidP="00E941AC">
      <w:pPr>
        <w:ind w:firstLine="284"/>
        <w:jc w:val="center"/>
        <w:rPr>
          <w:rFonts w:ascii="Garamond" w:hAnsi="Garamond" w:cs="CIDFont+F1"/>
          <w:b/>
          <w:sz w:val="36"/>
          <w:szCs w:val="36"/>
        </w:rPr>
      </w:pPr>
      <w:r w:rsidRPr="00E941AC">
        <w:rPr>
          <w:rFonts w:ascii="Garamond" w:hAnsi="Garamond" w:cs="CIDFont+F2"/>
          <w:b/>
          <w:sz w:val="36"/>
          <w:szCs w:val="36"/>
        </w:rPr>
        <w:t>Bernard Dubreuil</w:t>
      </w:r>
    </w:p>
    <w:p w:rsidR="008C7B11" w:rsidRDefault="008C7B11" w:rsidP="008C7B11">
      <w:pPr>
        <w:ind w:firstLine="284"/>
        <w:jc w:val="center"/>
        <w:rPr>
          <w:rFonts w:ascii="Garamond" w:hAnsi="Garamond" w:cs="CIDFont+F1"/>
          <w:sz w:val="24"/>
          <w:szCs w:val="24"/>
        </w:rPr>
      </w:pPr>
      <w:r>
        <w:rPr>
          <w:rFonts w:ascii="Garamond" w:hAnsi="Garamond" w:cs="CIDFont+F1"/>
          <w:sz w:val="24"/>
          <w:szCs w:val="24"/>
        </w:rPr>
        <w:t xml:space="preserve">Académie d’Orléans </w:t>
      </w:r>
    </w:p>
    <w:p w:rsidR="00E941AC" w:rsidRPr="00E941AC" w:rsidRDefault="008C7B11" w:rsidP="008C7B11">
      <w:pPr>
        <w:ind w:firstLine="284"/>
        <w:jc w:val="center"/>
        <w:rPr>
          <w:rFonts w:ascii="Garamond" w:hAnsi="Garamond" w:cs="CIDFont+F1"/>
          <w:sz w:val="24"/>
          <w:szCs w:val="24"/>
        </w:rPr>
      </w:pPr>
      <w:r>
        <w:rPr>
          <w:rFonts w:ascii="Garamond" w:hAnsi="Garamond" w:cs="CIDFont+F1"/>
          <w:sz w:val="24"/>
          <w:szCs w:val="24"/>
        </w:rPr>
        <w:t>Le jeudi 17 décembre 2020</w:t>
      </w:r>
    </w:p>
    <w:p w:rsidR="00E941AC" w:rsidRDefault="00E941AC" w:rsidP="00E941AC">
      <w:pPr>
        <w:ind w:firstLine="284"/>
        <w:jc w:val="both"/>
        <w:rPr>
          <w:rFonts w:ascii="Garamond" w:hAnsi="Garamond" w:cs="CIDFont+F2"/>
          <w:sz w:val="24"/>
          <w:szCs w:val="24"/>
        </w:rPr>
      </w:pPr>
      <w:r w:rsidRPr="00E941AC">
        <w:rPr>
          <w:rFonts w:ascii="Garamond" w:hAnsi="Garamond" w:cs="CIDFont+F2"/>
          <w:sz w:val="24"/>
          <w:szCs w:val="24"/>
        </w:rPr>
        <w:t>Il y aura bientôt cent ans, un physicien français Louis de Broglie énonçait dans sa thèse qu’à chaque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particule (atome, électron…) on pouvait associer une onde, élargissant le concept de dualité onde</w:t>
      </w:r>
      <w:r>
        <w:rPr>
          <w:rFonts w:ascii="Garamond" w:hAnsi="Garamond" w:cs="CIDFont+F2"/>
          <w:sz w:val="24"/>
          <w:szCs w:val="24"/>
        </w:rPr>
        <w:t>-</w:t>
      </w:r>
      <w:r w:rsidRPr="00E941AC">
        <w:rPr>
          <w:rFonts w:ascii="Garamond" w:hAnsi="Garamond" w:cs="CIDFont+F2"/>
          <w:sz w:val="24"/>
          <w:szCs w:val="24"/>
        </w:rPr>
        <w:t>corpuscule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qu’Einstein avait établi quelques années avant pour expliquer le comportement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 xml:space="preserve">corpusculaire de la lumière (une onde) dans l’effet photoélectrique. </w:t>
      </w:r>
    </w:p>
    <w:p w:rsidR="00E941AC" w:rsidRDefault="00E941AC" w:rsidP="00E941AC">
      <w:pPr>
        <w:ind w:firstLine="284"/>
        <w:jc w:val="both"/>
        <w:rPr>
          <w:rFonts w:ascii="Garamond" w:hAnsi="Garamond" w:cs="CIDFont+F2"/>
          <w:sz w:val="24"/>
          <w:szCs w:val="24"/>
        </w:rPr>
      </w:pPr>
      <w:r w:rsidRPr="00E941AC">
        <w:rPr>
          <w:rFonts w:ascii="Garamond" w:hAnsi="Garamond" w:cs="CIDFont+F2"/>
          <w:sz w:val="24"/>
          <w:szCs w:val="24"/>
        </w:rPr>
        <w:t>Les 30 premières années du XIX</w:t>
      </w:r>
      <w:r w:rsidRPr="00E941AC">
        <w:rPr>
          <w:rFonts w:ascii="Garamond" w:hAnsi="Garamond" w:cs="CIDFont+F2"/>
          <w:sz w:val="24"/>
          <w:szCs w:val="24"/>
          <w:vertAlign w:val="superscript"/>
        </w:rPr>
        <w:t>e</w:t>
      </w:r>
      <w:r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siècle ont vu s’élaborer une théorie scientifique : la physique quantique qui allait imposer à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coup d’intuitions géniales, de débats passionnés, à l’aide d’un formalisme mathématique inédit, les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étranges lois qui décrivent aujourd’hui encore le monde de l’infiniment petit. Ce monde tellement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différent de ce que nous apprend du monde notre propre expérience. Mais, jamais une théorie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scientifique n’a été autant confortée par l’expérience, et jamais jusqu’à ce jour mise en défaut.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Nous vivons</w:t>
      </w:r>
      <w:r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- sans le savoir ou en l’ayant oublié</w:t>
      </w:r>
      <w:r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- dans un monde résolument quantique :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microélectronique, ordinateur, smartphone, caméra, éclairage, laser, propriétés et chimie des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matériaux, IRM, télécommunications, GPS, nucléaire, photovoltaïque</w:t>
      </w:r>
      <w:r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… autant d’applications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industrielles et au combien utiles générées par la physique quantique.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</w:p>
    <w:p w:rsidR="00E941AC" w:rsidRDefault="00E941AC" w:rsidP="00E941AC">
      <w:pPr>
        <w:ind w:firstLine="284"/>
        <w:jc w:val="both"/>
        <w:rPr>
          <w:rFonts w:ascii="Garamond" w:hAnsi="Garamond" w:cs="CIDFont+F2"/>
          <w:sz w:val="24"/>
          <w:szCs w:val="24"/>
        </w:rPr>
      </w:pPr>
      <w:r w:rsidRPr="00E941AC">
        <w:rPr>
          <w:rFonts w:ascii="Garamond" w:hAnsi="Garamond" w:cs="CIDFont+F2"/>
          <w:sz w:val="24"/>
          <w:szCs w:val="24"/>
        </w:rPr>
        <w:t xml:space="preserve">On parle de </w:t>
      </w:r>
      <w:r w:rsidRPr="00E941AC">
        <w:rPr>
          <w:rFonts w:ascii="Garamond" w:hAnsi="Garamond" w:cs="CIDFont+F1"/>
          <w:sz w:val="24"/>
          <w:szCs w:val="24"/>
        </w:rPr>
        <w:t>première révolution quantique</w:t>
      </w:r>
      <w:r w:rsidRPr="00E941AC">
        <w:rPr>
          <w:rFonts w:ascii="Garamond" w:hAnsi="Garamond" w:cs="CIDFont+F2"/>
          <w:sz w:val="24"/>
          <w:szCs w:val="24"/>
        </w:rPr>
        <w:t>, une révolution qui s’est faite à bas bruit, car tout ce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petit monde du quantique mettait à mal le sens commun et effrayait par son arsenal mathématique ;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un domaine réservé à une « poignée » de prix Nobel avouant eux même leur difficulté à comprendre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ou interpréter ce que produisait leur théorie : « Je pense pouvoir dire sans trop me tromper que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personne ne comprend la mécanique quantique » Richard Feynman</w:t>
      </w:r>
      <w:r>
        <w:rPr>
          <w:rFonts w:ascii="Garamond" w:hAnsi="Garamond" w:cs="CIDFont+F2"/>
          <w:sz w:val="24"/>
          <w:szCs w:val="24"/>
        </w:rPr>
        <w:t>,</w:t>
      </w:r>
      <w:r w:rsidRPr="00E941AC">
        <w:rPr>
          <w:rFonts w:ascii="Garamond" w:hAnsi="Garamond" w:cs="CIDFont+F2"/>
          <w:sz w:val="24"/>
          <w:szCs w:val="24"/>
        </w:rPr>
        <w:t xml:space="preserve"> Prix Nobel de Physique.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D’une grande efficacité la « quantique », comme on l’appelle aujourd’hui, demeure un domaine de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recherches extrêmement fécond grâce à des techniques de plus en plus sophistiquées qui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permettent d’explorer des situations nouvelles ou de résoudre des « points de détail » apparus lors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de débats sur l’interprétation de cette théorie.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</w:p>
    <w:p w:rsidR="00E941AC" w:rsidRDefault="00E941AC" w:rsidP="00E941AC">
      <w:pPr>
        <w:ind w:firstLine="284"/>
        <w:jc w:val="both"/>
        <w:rPr>
          <w:rFonts w:ascii="Garamond" w:hAnsi="Garamond" w:cs="CIDFont+F2"/>
          <w:sz w:val="24"/>
          <w:szCs w:val="24"/>
        </w:rPr>
      </w:pPr>
      <w:r w:rsidRPr="00E941AC">
        <w:rPr>
          <w:rFonts w:ascii="Garamond" w:hAnsi="Garamond" w:cs="CIDFont+F2"/>
          <w:sz w:val="24"/>
          <w:szCs w:val="24"/>
        </w:rPr>
        <w:t>Depuis une quarantaine d’années, les laboratoires et maintenant l’industrie ont appris à entrer dans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l’intimité non plus de millions de particules, mais d’une seule à la fois. De nouveaux phénomènes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prédits par la quantique ont été étudiés, encore plus contre-intuitifs, voire choquants, mais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parfaitement réels, avec des désignations dignes d’un roman de science-fiction : intrication,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effondrement, décohérence, téléportation, mondes multiples</w:t>
      </w:r>
      <w:r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…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</w:p>
    <w:p w:rsidR="00B05328" w:rsidRPr="00E941AC" w:rsidRDefault="00E941AC" w:rsidP="00E941AC">
      <w:pPr>
        <w:ind w:firstLine="284"/>
        <w:jc w:val="both"/>
        <w:rPr>
          <w:rFonts w:ascii="Garamond" w:hAnsi="Garamond"/>
          <w:sz w:val="24"/>
          <w:szCs w:val="24"/>
        </w:rPr>
      </w:pPr>
      <w:r w:rsidRPr="00E941AC">
        <w:rPr>
          <w:rFonts w:ascii="Garamond" w:hAnsi="Garamond" w:cs="CIDFont+F2"/>
          <w:sz w:val="24"/>
          <w:szCs w:val="24"/>
        </w:rPr>
        <w:t>S’ouvre</w:t>
      </w:r>
      <w:r>
        <w:rPr>
          <w:rFonts w:ascii="Garamond" w:hAnsi="Garamond" w:cs="CIDFont+F2"/>
          <w:sz w:val="24"/>
          <w:szCs w:val="24"/>
        </w:rPr>
        <w:t>,</w:t>
      </w:r>
      <w:r w:rsidRPr="00E941AC">
        <w:rPr>
          <w:rFonts w:ascii="Garamond" w:hAnsi="Garamond" w:cs="CIDFont+F2"/>
          <w:sz w:val="24"/>
          <w:szCs w:val="24"/>
        </w:rPr>
        <w:t xml:space="preserve"> en ce début de XXI</w:t>
      </w:r>
      <w:r w:rsidRPr="00E941AC">
        <w:rPr>
          <w:rFonts w:ascii="Garamond" w:hAnsi="Garamond" w:cs="CIDFont+F2"/>
          <w:sz w:val="24"/>
          <w:szCs w:val="24"/>
          <w:vertAlign w:val="superscript"/>
        </w:rPr>
        <w:t>e</w:t>
      </w:r>
      <w:r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siècle</w:t>
      </w:r>
      <w:r>
        <w:rPr>
          <w:rFonts w:ascii="Garamond" w:hAnsi="Garamond" w:cs="CIDFont+F2"/>
          <w:sz w:val="24"/>
          <w:szCs w:val="24"/>
        </w:rPr>
        <w:t>,</w:t>
      </w:r>
      <w:r w:rsidRPr="00E941AC">
        <w:rPr>
          <w:rFonts w:ascii="Garamond" w:hAnsi="Garamond" w:cs="CIDFont+F2"/>
          <w:sz w:val="24"/>
          <w:szCs w:val="24"/>
        </w:rPr>
        <w:t xml:space="preserve"> une </w:t>
      </w:r>
      <w:r w:rsidRPr="00E941AC">
        <w:rPr>
          <w:rFonts w:ascii="Garamond" w:hAnsi="Garamond" w:cs="CIDFont+F1"/>
          <w:sz w:val="24"/>
          <w:szCs w:val="24"/>
        </w:rPr>
        <w:t>nouvelle révolution quantique</w:t>
      </w:r>
      <w:r w:rsidRPr="00E941AC">
        <w:rPr>
          <w:rFonts w:ascii="Garamond" w:hAnsi="Garamond" w:cs="CIDFont+F2"/>
          <w:sz w:val="24"/>
          <w:szCs w:val="24"/>
        </w:rPr>
        <w:t>, comme les médias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>
        <w:rPr>
          <w:rFonts w:ascii="Garamond" w:hAnsi="Garamond" w:cs="CIDFont+F2"/>
          <w:sz w:val="24"/>
          <w:szCs w:val="24"/>
        </w:rPr>
        <w:t>l’appellent. Car se font jour</w:t>
      </w:r>
      <w:r w:rsidRPr="00E941AC">
        <w:rPr>
          <w:rFonts w:ascii="Garamond" w:hAnsi="Garamond" w:cs="CIDFont+F2"/>
          <w:sz w:val="24"/>
          <w:szCs w:val="24"/>
        </w:rPr>
        <w:t xml:space="preserve"> des applications technologiques à forts enjeux commerciaux et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 xml:space="preserve">stratégiques </w:t>
      </w:r>
      <w:r w:rsidRPr="00E941AC">
        <w:rPr>
          <w:rFonts w:ascii="Garamond" w:hAnsi="Garamond" w:cs="CIDFont+F1"/>
          <w:sz w:val="24"/>
          <w:szCs w:val="24"/>
        </w:rPr>
        <w:t>: l’ordinateur quantique, la cryptographie, les télécommunications, les capteurs</w:t>
      </w:r>
      <w:r w:rsidRPr="00E941AC">
        <w:rPr>
          <w:rFonts w:ascii="Garamond" w:hAnsi="Garamond" w:cs="CIDFont+F2"/>
          <w:sz w:val="24"/>
          <w:szCs w:val="24"/>
        </w:rPr>
        <w:t>. A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l’état encore embryonnaire ou de curiosités de laboratoire, les recherches vont bon train et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 xml:space="preserve">nourrissent l’intérêt des </w:t>
      </w:r>
      <w:r>
        <w:rPr>
          <w:rFonts w:ascii="Garamond" w:hAnsi="Garamond" w:cs="CIDFont+F2"/>
          <w:sz w:val="24"/>
          <w:szCs w:val="24"/>
        </w:rPr>
        <w:t>É</w:t>
      </w:r>
      <w:r w:rsidRPr="00E941AC">
        <w:rPr>
          <w:rFonts w:ascii="Garamond" w:hAnsi="Garamond" w:cs="CIDFont+F2"/>
          <w:sz w:val="24"/>
          <w:szCs w:val="24"/>
        </w:rPr>
        <w:t>tats et des industriels. Par exemple, 1 milliard de dollars sur 10 ans ont été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alloués en 2018 à l’ordinateur quantique par la Commission européenne, 10 milliards en Chine, le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 xml:space="preserve">tout dans une course effrénée à la « suprématie entre les grands de l’informatique : Google, </w:t>
      </w:r>
      <w:proofErr w:type="spellStart"/>
      <w:r w:rsidRPr="00E941AC">
        <w:rPr>
          <w:rFonts w:ascii="Garamond" w:hAnsi="Garamond" w:cs="CIDFont+F2"/>
          <w:sz w:val="24"/>
          <w:szCs w:val="24"/>
        </w:rPr>
        <w:t>Rigetti</w:t>
      </w:r>
      <w:proofErr w:type="spellEnd"/>
      <w:r w:rsidRPr="00E941AC">
        <w:rPr>
          <w:rFonts w:ascii="Garamond" w:hAnsi="Garamond" w:cs="CIDFont+F2"/>
          <w:sz w:val="24"/>
          <w:szCs w:val="24"/>
        </w:rPr>
        <w:t xml:space="preserve"> </w:t>
      </w:r>
      <w:proofErr w:type="spellStart"/>
      <w:r w:rsidRPr="00E941AC">
        <w:rPr>
          <w:rFonts w:ascii="Garamond" w:hAnsi="Garamond" w:cs="CIDFont+F2"/>
          <w:sz w:val="24"/>
          <w:szCs w:val="24"/>
        </w:rPr>
        <w:t>Computing</w:t>
      </w:r>
      <w:proofErr w:type="spellEnd"/>
      <w:r w:rsidRPr="00E941AC">
        <w:rPr>
          <w:rFonts w:ascii="Garamond" w:hAnsi="Garamond" w:cs="CIDFont+F2"/>
          <w:sz w:val="24"/>
          <w:szCs w:val="24"/>
        </w:rPr>
        <w:t>, IBM, Honeywell, Intel et d’autres encore.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Mon propos sera d’ouvrir une petite fenêtre sur cette révolution en marche depuis plus d’un siècle,</w:t>
      </w:r>
      <w:r w:rsidRPr="00E941AC">
        <w:rPr>
          <w:rFonts w:ascii="Garamond" w:hAnsi="Garamond" w:cs="CIDFont+F2"/>
          <w:sz w:val="24"/>
          <w:szCs w:val="24"/>
        </w:rPr>
        <w:t xml:space="preserve"> </w:t>
      </w:r>
      <w:r w:rsidRPr="00E941AC">
        <w:rPr>
          <w:rFonts w:ascii="Garamond" w:hAnsi="Garamond" w:cs="CIDFont+F2"/>
          <w:sz w:val="24"/>
          <w:szCs w:val="24"/>
        </w:rPr>
        <w:t>et de montrer simplement ce que le monde de l’infiniment petit a de magique et de captivant.</w:t>
      </w:r>
    </w:p>
    <w:sectPr w:rsidR="00B05328" w:rsidRPr="00E941AC" w:rsidSect="008C7B11"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AC"/>
    <w:rsid w:val="008C7B11"/>
    <w:rsid w:val="00B05328"/>
    <w:rsid w:val="00E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7C109-190F-4006-87DF-7CDC7E77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Monsigny</dc:creator>
  <cp:keywords/>
  <dc:description/>
  <cp:lastModifiedBy>Michel Monsigny</cp:lastModifiedBy>
  <cp:revision>1</cp:revision>
  <cp:lastPrinted>2020-12-12T14:22:00Z</cp:lastPrinted>
  <dcterms:created xsi:type="dcterms:W3CDTF">2020-12-12T14:10:00Z</dcterms:created>
  <dcterms:modified xsi:type="dcterms:W3CDTF">2020-12-12T14:24:00Z</dcterms:modified>
</cp:coreProperties>
</file>