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878" w:rsidRDefault="00641878" w:rsidP="00641878">
      <w:pPr>
        <w:ind w:firstLine="284"/>
        <w:jc w:val="center"/>
        <w:rPr>
          <w:rFonts w:eastAsia="Calibri"/>
          <w:b/>
        </w:rPr>
      </w:pPr>
      <w:bookmarkStart w:id="0" w:name="_GoBack"/>
      <w:bookmarkEnd w:id="0"/>
      <w:r w:rsidRPr="00801570">
        <w:rPr>
          <w:b/>
          <w:noProof/>
          <w:color w:val="000000"/>
          <w:sz w:val="40"/>
          <w:szCs w:val="40"/>
          <w:lang w:eastAsia="fr-FR"/>
        </w:rPr>
        <w:drawing>
          <wp:inline distT="0" distB="0" distL="0" distR="0">
            <wp:extent cx="156210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inline>
        </w:drawing>
      </w:r>
    </w:p>
    <w:p w:rsidR="00641878" w:rsidRDefault="00641878" w:rsidP="00641878">
      <w:pPr>
        <w:ind w:firstLine="284"/>
        <w:jc w:val="center"/>
        <w:rPr>
          <w:rFonts w:eastAsia="Calibri"/>
          <w:b/>
        </w:rPr>
      </w:pPr>
    </w:p>
    <w:p w:rsidR="00641878" w:rsidRPr="00951B78" w:rsidRDefault="00641878" w:rsidP="00641878">
      <w:pPr>
        <w:ind w:firstLine="284"/>
        <w:jc w:val="center"/>
        <w:rPr>
          <w:rFonts w:eastAsia="Calibri"/>
          <w:b/>
          <w:color w:val="00B050"/>
          <w:sz w:val="40"/>
          <w:szCs w:val="40"/>
        </w:rPr>
      </w:pPr>
      <w:r w:rsidRPr="00951B78">
        <w:rPr>
          <w:rFonts w:eastAsia="Calibri"/>
          <w:b/>
          <w:color w:val="00B050"/>
          <w:sz w:val="40"/>
          <w:szCs w:val="40"/>
        </w:rPr>
        <w:t>Le corps de l’Homme</w:t>
      </w:r>
    </w:p>
    <w:p w:rsidR="00641878" w:rsidRPr="00951B78" w:rsidRDefault="00641878" w:rsidP="00641878">
      <w:pPr>
        <w:ind w:firstLine="284"/>
        <w:jc w:val="center"/>
        <w:rPr>
          <w:rFonts w:eastAsia="Calibri"/>
          <w:i/>
          <w:color w:val="00B050"/>
          <w:sz w:val="32"/>
          <w:szCs w:val="32"/>
        </w:rPr>
      </w:pPr>
      <w:r w:rsidRPr="00951B78">
        <w:rPr>
          <w:rFonts w:eastAsia="Calibri"/>
          <w:i/>
          <w:color w:val="00B050"/>
          <w:sz w:val="32"/>
          <w:szCs w:val="32"/>
        </w:rPr>
        <w:t>Aspects moléculaires et cellulaires :</w:t>
      </w:r>
      <w:r w:rsidR="00951B78" w:rsidRPr="00951B78">
        <w:rPr>
          <w:rFonts w:eastAsia="Calibri"/>
          <w:i/>
          <w:color w:val="00B050"/>
          <w:sz w:val="32"/>
          <w:szCs w:val="32"/>
        </w:rPr>
        <w:t xml:space="preserve"> </w:t>
      </w:r>
      <w:r w:rsidRPr="00951B78">
        <w:rPr>
          <w:rFonts w:eastAsia="Calibri"/>
          <w:i/>
          <w:color w:val="00B050"/>
          <w:sz w:val="32"/>
          <w:szCs w:val="32"/>
        </w:rPr>
        <w:t>données, espoirs, illusions, questionnements</w:t>
      </w:r>
    </w:p>
    <w:p w:rsidR="00641878" w:rsidRDefault="00641878" w:rsidP="00641878">
      <w:pPr>
        <w:ind w:firstLine="284"/>
        <w:jc w:val="center"/>
        <w:rPr>
          <w:rFonts w:eastAsia="Calibri"/>
          <w:b/>
        </w:rPr>
      </w:pPr>
    </w:p>
    <w:p w:rsidR="00641878" w:rsidRPr="00951B78" w:rsidRDefault="00641878" w:rsidP="00641878">
      <w:pPr>
        <w:ind w:firstLine="284"/>
        <w:jc w:val="center"/>
        <w:rPr>
          <w:rFonts w:eastAsia="Calibri"/>
          <w:b/>
          <w:color w:val="2E74B5" w:themeColor="accent1" w:themeShade="BF"/>
          <w:sz w:val="36"/>
          <w:szCs w:val="36"/>
        </w:rPr>
      </w:pPr>
      <w:r w:rsidRPr="00951B78">
        <w:rPr>
          <w:rFonts w:eastAsia="Calibri"/>
          <w:b/>
          <w:color w:val="2E74B5" w:themeColor="accent1" w:themeShade="BF"/>
          <w:sz w:val="36"/>
          <w:szCs w:val="36"/>
        </w:rPr>
        <w:t>Michel Monsigny</w:t>
      </w:r>
    </w:p>
    <w:p w:rsidR="00641878" w:rsidRPr="00951B78" w:rsidRDefault="00641878" w:rsidP="00641878">
      <w:pPr>
        <w:ind w:firstLine="284"/>
        <w:jc w:val="center"/>
        <w:rPr>
          <w:rFonts w:eastAsia="Calibri"/>
          <w:color w:val="FF0000"/>
        </w:rPr>
      </w:pPr>
      <w:r w:rsidRPr="00951B78">
        <w:rPr>
          <w:rFonts w:eastAsia="Calibri"/>
          <w:color w:val="FF0000"/>
        </w:rPr>
        <w:t>Jeudi 3 novembre 2016, 17 h 30</w:t>
      </w:r>
    </w:p>
    <w:p w:rsidR="00641878" w:rsidRPr="00641878" w:rsidRDefault="00641878" w:rsidP="00641878">
      <w:pPr>
        <w:ind w:firstLine="284"/>
        <w:jc w:val="both"/>
        <w:rPr>
          <w:rFonts w:eastAsia="Calibri"/>
        </w:rPr>
      </w:pPr>
    </w:p>
    <w:p w:rsidR="00951B78" w:rsidRDefault="00951B78" w:rsidP="00641878">
      <w:pPr>
        <w:spacing w:line="276" w:lineRule="auto"/>
        <w:ind w:firstLine="284"/>
        <w:jc w:val="both"/>
        <w:rPr>
          <w:rFonts w:eastAsia="Calibri"/>
        </w:rPr>
        <w:sectPr w:rsidR="00951B78" w:rsidSect="00641878">
          <w:pgSz w:w="11906" w:h="16838"/>
          <w:pgMar w:top="993" w:right="1416" w:bottom="1417" w:left="1418" w:header="708" w:footer="708" w:gutter="0"/>
          <w:cols w:space="708"/>
          <w:docGrid w:linePitch="360"/>
        </w:sectPr>
      </w:pPr>
    </w:p>
    <w:p w:rsidR="00641878" w:rsidRPr="00641878" w:rsidRDefault="00641878" w:rsidP="00641878">
      <w:pPr>
        <w:spacing w:line="276" w:lineRule="auto"/>
        <w:ind w:firstLine="284"/>
        <w:jc w:val="both"/>
        <w:rPr>
          <w:rFonts w:eastAsia="Calibri"/>
        </w:rPr>
      </w:pPr>
      <w:r w:rsidRPr="00641878">
        <w:rPr>
          <w:rFonts w:eastAsia="Calibri"/>
        </w:rPr>
        <w:t>Les progrès de la biologie au cours des 50 dernières années ont apporté une connaissance approfondie du corps de l'Homme. Les caractéristiques moléculaires et cellulaires du développement de l'Homme depuis la fécondation jusqu'à l'âge adulte ont été partiellement décryptées. La lecture du génome de l'Homme a ouvert des perspectives très larges pour la compréhension des mécanismes normaux et pathologiques ainsi que pour la mise au point de nouvelles thérapies personnalisées. Parallèlement, des manipulations conduisant éventuellement à l’eugénisme sont à portée de main. Divers aspects soulèvent des problèmes éthiques importants.</w:t>
      </w:r>
    </w:p>
    <w:p w:rsidR="00641878" w:rsidRPr="00641878" w:rsidRDefault="00641878" w:rsidP="00641878">
      <w:pPr>
        <w:spacing w:line="276" w:lineRule="auto"/>
        <w:ind w:firstLine="284"/>
        <w:jc w:val="both"/>
        <w:rPr>
          <w:rFonts w:eastAsia="Calibri"/>
        </w:rPr>
      </w:pPr>
      <w:r w:rsidRPr="00641878">
        <w:t xml:space="preserve">Nous aborderons, dans une première partie, quelques éléments qui font la spécificité du corps de l’Homme par rapport aux autres organismes vivants (primates, autres mammifères, etc.) </w:t>
      </w:r>
      <w:r w:rsidRPr="00641878">
        <w:rPr>
          <w:rFonts w:eastAsia="Calibri"/>
        </w:rPr>
        <w:t xml:space="preserve">et leurs conséquences : </w:t>
      </w:r>
      <w:r w:rsidRPr="00641878">
        <w:rPr>
          <w:rFonts w:eastAsia="Calibri"/>
        </w:rPr>
        <w:t xml:space="preserve">aspects immunologiques, transplantation d’organes, pathologies, développement, etc. Certaines applications pourront conduire à un corps </w:t>
      </w:r>
      <w:r w:rsidRPr="00641878">
        <w:rPr>
          <w:rFonts w:eastAsia="Calibri"/>
          <w:b/>
        </w:rPr>
        <w:t>réparé</w:t>
      </w:r>
      <w:r w:rsidRPr="00641878">
        <w:rPr>
          <w:rFonts w:eastAsia="Calibri"/>
        </w:rPr>
        <w:t xml:space="preserve">, voire à un corps </w:t>
      </w:r>
      <w:r w:rsidRPr="00641878">
        <w:rPr>
          <w:rFonts w:eastAsia="Calibri"/>
          <w:b/>
        </w:rPr>
        <w:t>remodelé.</w:t>
      </w:r>
    </w:p>
    <w:p w:rsidR="00641878" w:rsidRPr="00641878" w:rsidRDefault="00641878" w:rsidP="00641878">
      <w:pPr>
        <w:spacing w:line="276" w:lineRule="auto"/>
        <w:ind w:firstLine="284"/>
        <w:jc w:val="both"/>
        <w:rPr>
          <w:rFonts w:eastAsia="Calibri"/>
        </w:rPr>
      </w:pPr>
      <w:r w:rsidRPr="00641878">
        <w:rPr>
          <w:rFonts w:eastAsia="Calibri"/>
        </w:rPr>
        <w:t xml:space="preserve">Puis nous évoquerons les possibilités offertes par l’accession aux cellules souches embryonnaires et aux cellules souches pluripotentes induites à partir de cellules adultes ; à ce propos, nous aborderons les extraordinaires potentialités mais aussi les dérives possibles : depuis la louable procréation médicalement assistée jusqu’au corps </w:t>
      </w:r>
      <w:r w:rsidRPr="00641878">
        <w:rPr>
          <w:rFonts w:eastAsia="Calibri"/>
          <w:b/>
        </w:rPr>
        <w:t>régénéré</w:t>
      </w:r>
      <w:r w:rsidRPr="00641878">
        <w:rPr>
          <w:rFonts w:eastAsia="Calibri"/>
        </w:rPr>
        <w:t xml:space="preserve"> et au corps </w:t>
      </w:r>
      <w:r w:rsidRPr="00641878">
        <w:rPr>
          <w:rFonts w:eastAsia="Calibri"/>
          <w:b/>
        </w:rPr>
        <w:t xml:space="preserve">amélioré, </w:t>
      </w:r>
      <w:r w:rsidRPr="00641878">
        <w:rPr>
          <w:rFonts w:eastAsia="Calibri"/>
        </w:rPr>
        <w:t xml:space="preserve">porte ouverte à diverses </w:t>
      </w:r>
      <w:proofErr w:type="gramStart"/>
      <w:r w:rsidRPr="00641878">
        <w:rPr>
          <w:rFonts w:eastAsia="Calibri"/>
        </w:rPr>
        <w:t>transgressions</w:t>
      </w:r>
      <w:proofErr w:type="gramEnd"/>
      <w:r w:rsidRPr="00641878">
        <w:rPr>
          <w:rFonts w:eastAsia="Calibri"/>
        </w:rPr>
        <w:t xml:space="preserve"> …</w:t>
      </w:r>
    </w:p>
    <w:p w:rsidR="00641878" w:rsidRDefault="00641878" w:rsidP="00641878">
      <w:pPr>
        <w:spacing w:line="276" w:lineRule="auto"/>
        <w:ind w:firstLine="284"/>
        <w:jc w:val="both"/>
        <w:rPr>
          <w:rFonts w:eastAsia="Calibri"/>
        </w:rPr>
      </w:pPr>
      <w:r w:rsidRPr="00641878">
        <w:rPr>
          <w:rFonts w:eastAsia="Calibri"/>
        </w:rPr>
        <w:t xml:space="preserve">Nous terminerons en posant quelques questions éthiques liées à l’avancement des connaissances du corps de l’Homme et aux applications présentes et envisageables dans un prochain futur.  </w:t>
      </w:r>
    </w:p>
    <w:p w:rsidR="00951B78" w:rsidRDefault="00951B78" w:rsidP="00641878">
      <w:pPr>
        <w:spacing w:line="276" w:lineRule="auto"/>
        <w:ind w:firstLine="284"/>
        <w:jc w:val="center"/>
        <w:rPr>
          <w:rFonts w:eastAsia="Calibri"/>
        </w:rPr>
        <w:sectPr w:rsidR="00951B78" w:rsidSect="00951B78">
          <w:type w:val="continuous"/>
          <w:pgSz w:w="11906" w:h="16838"/>
          <w:pgMar w:top="993" w:right="1416" w:bottom="1417" w:left="993" w:header="708" w:footer="708" w:gutter="0"/>
          <w:cols w:num="2" w:space="708"/>
          <w:docGrid w:linePitch="360"/>
        </w:sectPr>
      </w:pPr>
    </w:p>
    <w:p w:rsidR="00951B78" w:rsidRDefault="00951B78" w:rsidP="00641878">
      <w:pPr>
        <w:spacing w:line="276" w:lineRule="auto"/>
        <w:ind w:firstLine="284"/>
        <w:jc w:val="center"/>
        <w:rPr>
          <w:rFonts w:eastAsia="Calibri"/>
        </w:rPr>
      </w:pPr>
    </w:p>
    <w:p w:rsidR="00951B78" w:rsidRDefault="00951B78" w:rsidP="00641878">
      <w:pPr>
        <w:spacing w:line="276" w:lineRule="auto"/>
        <w:ind w:firstLine="284"/>
        <w:jc w:val="center"/>
        <w:rPr>
          <w:rFonts w:eastAsia="Calibri"/>
        </w:rPr>
        <w:sectPr w:rsidR="00951B78" w:rsidSect="00951B78">
          <w:type w:val="continuous"/>
          <w:pgSz w:w="11906" w:h="16838"/>
          <w:pgMar w:top="993" w:right="1416" w:bottom="1135" w:left="1418" w:header="708" w:footer="708" w:gutter="0"/>
          <w:cols w:space="708"/>
          <w:docGrid w:linePitch="360"/>
        </w:sectPr>
      </w:pPr>
    </w:p>
    <w:p w:rsidR="00641878" w:rsidRPr="00641878" w:rsidRDefault="00641878" w:rsidP="00641878">
      <w:pPr>
        <w:pStyle w:val="Sansinterligne"/>
        <w:ind w:left="284" w:hanging="284"/>
        <w:rPr>
          <w:i/>
        </w:rPr>
      </w:pPr>
      <w:r w:rsidRPr="00641878">
        <w:rPr>
          <w:i/>
        </w:rPr>
        <w:t xml:space="preserve">I - </w:t>
      </w:r>
      <w:r w:rsidRPr="00641878">
        <w:rPr>
          <w:b/>
          <w:i/>
        </w:rPr>
        <w:t>Caractéristiques biologiques du corps de l’Homme</w:t>
      </w:r>
    </w:p>
    <w:p w:rsidR="00641878" w:rsidRPr="00641878" w:rsidRDefault="00641878" w:rsidP="00641878">
      <w:pPr>
        <w:pStyle w:val="Sansinterligne"/>
        <w:ind w:left="426" w:hanging="142"/>
        <w:rPr>
          <w:bCs/>
          <w:i/>
        </w:rPr>
      </w:pPr>
      <w:r w:rsidRPr="00641878">
        <w:rPr>
          <w:i/>
        </w:rPr>
        <w:t xml:space="preserve">1° </w:t>
      </w:r>
      <w:r w:rsidRPr="00641878">
        <w:rPr>
          <w:bCs/>
          <w:i/>
        </w:rPr>
        <w:t xml:space="preserve">La transplantation d’organes. </w:t>
      </w:r>
    </w:p>
    <w:p w:rsidR="00641878" w:rsidRPr="00641878" w:rsidRDefault="00641878" w:rsidP="00641878">
      <w:pPr>
        <w:pStyle w:val="Sansinterligne"/>
        <w:ind w:left="426" w:hanging="142"/>
        <w:rPr>
          <w:i/>
        </w:rPr>
      </w:pPr>
      <w:r w:rsidRPr="00641878">
        <w:rPr>
          <w:i/>
        </w:rPr>
        <w:t>2° La susceptibilité aux maladies</w:t>
      </w:r>
    </w:p>
    <w:p w:rsidR="00641878" w:rsidRPr="00641878" w:rsidRDefault="00641878" w:rsidP="00641878">
      <w:pPr>
        <w:pStyle w:val="Sansinterligne"/>
        <w:ind w:left="426" w:hanging="142"/>
        <w:rPr>
          <w:rFonts w:eastAsia="Times New Roman"/>
          <w:i/>
          <w:lang w:eastAsia="fr-FR"/>
        </w:rPr>
      </w:pPr>
      <w:r w:rsidRPr="00641878">
        <w:rPr>
          <w:rFonts w:eastAsia="Times New Roman"/>
          <w:i/>
          <w:lang w:eastAsia="fr-FR"/>
        </w:rPr>
        <w:t xml:space="preserve">3° La taille du cerveau et le nombre de neurones </w:t>
      </w:r>
    </w:p>
    <w:p w:rsidR="00641878" w:rsidRPr="00641878" w:rsidRDefault="00641878" w:rsidP="00641878">
      <w:pPr>
        <w:pStyle w:val="Sansinterligne"/>
        <w:ind w:left="426" w:hanging="142"/>
        <w:rPr>
          <w:i/>
        </w:rPr>
      </w:pPr>
      <w:r w:rsidRPr="00641878">
        <w:rPr>
          <w:i/>
        </w:rPr>
        <w:t>4° Caractéristiques génomiques, anomalies et réparations</w:t>
      </w:r>
    </w:p>
    <w:p w:rsidR="00641878" w:rsidRPr="00641878" w:rsidRDefault="00641878" w:rsidP="00641878">
      <w:pPr>
        <w:pStyle w:val="Sansinterligne"/>
        <w:ind w:left="284" w:hanging="284"/>
        <w:rPr>
          <w:b/>
          <w:i/>
        </w:rPr>
      </w:pPr>
      <w:r w:rsidRPr="00641878">
        <w:rPr>
          <w:i/>
        </w:rPr>
        <w:t xml:space="preserve">II - </w:t>
      </w:r>
      <w:r>
        <w:rPr>
          <w:b/>
          <w:i/>
        </w:rPr>
        <w:t>L</w:t>
      </w:r>
      <w:r w:rsidRPr="00641878">
        <w:rPr>
          <w:b/>
          <w:i/>
        </w:rPr>
        <w:t>es cellules souches embryonnaires et les cellules souches induites</w:t>
      </w:r>
    </w:p>
    <w:p w:rsidR="00641878" w:rsidRPr="00641878" w:rsidRDefault="00641878" w:rsidP="00641878">
      <w:pPr>
        <w:pStyle w:val="Sansinterligne"/>
        <w:ind w:left="284"/>
        <w:rPr>
          <w:i/>
        </w:rPr>
      </w:pPr>
      <w:r w:rsidRPr="00641878">
        <w:rPr>
          <w:i/>
        </w:rPr>
        <w:t>1° La fécondation in vitro (FIV)</w:t>
      </w:r>
    </w:p>
    <w:p w:rsidR="00641878" w:rsidRPr="00641878" w:rsidRDefault="00641878" w:rsidP="00641878">
      <w:pPr>
        <w:pStyle w:val="Sansinterligne"/>
        <w:ind w:left="284" w:firstLine="283"/>
        <w:rPr>
          <w:i/>
        </w:rPr>
      </w:pPr>
      <w:r w:rsidRPr="00641878">
        <w:rPr>
          <w:i/>
        </w:rPr>
        <w:t xml:space="preserve">La FIV au secours de certains couples infertiles </w:t>
      </w:r>
    </w:p>
    <w:p w:rsidR="00641878" w:rsidRPr="00641878" w:rsidRDefault="00641878" w:rsidP="00641878">
      <w:pPr>
        <w:pStyle w:val="Sansinterligne"/>
        <w:ind w:left="284" w:firstLine="283"/>
        <w:rPr>
          <w:i/>
        </w:rPr>
      </w:pPr>
      <w:r w:rsidRPr="00641878">
        <w:rPr>
          <w:i/>
        </w:rPr>
        <w:t>L'enfant médicament </w:t>
      </w:r>
    </w:p>
    <w:p w:rsidR="00641878" w:rsidRPr="00641878" w:rsidRDefault="00641878" w:rsidP="00641878">
      <w:pPr>
        <w:pStyle w:val="Sansinterligne"/>
        <w:ind w:left="284" w:firstLine="283"/>
        <w:rPr>
          <w:i/>
        </w:rPr>
      </w:pPr>
      <w:r w:rsidRPr="00951B78">
        <w:rPr>
          <w:b/>
          <w:i/>
        </w:rPr>
        <w:t>L'enfant aux trois parents</w:t>
      </w:r>
      <w:r w:rsidRPr="00641878">
        <w:rPr>
          <w:i/>
        </w:rPr>
        <w:t xml:space="preserve"> : </w:t>
      </w:r>
    </w:p>
    <w:p w:rsidR="00641878" w:rsidRPr="00641878" w:rsidRDefault="00641878" w:rsidP="00951B78">
      <w:pPr>
        <w:pStyle w:val="Sansinterligne"/>
        <w:ind w:left="567"/>
        <w:rPr>
          <w:i/>
        </w:rPr>
      </w:pPr>
      <w:r w:rsidRPr="00641878">
        <w:rPr>
          <w:i/>
        </w:rPr>
        <w:t xml:space="preserve">Le clonage thérapeutique, source de tissus biologiques sur mesure  </w:t>
      </w:r>
    </w:p>
    <w:p w:rsidR="00641878" w:rsidRPr="00641878" w:rsidRDefault="00641878" w:rsidP="00641878">
      <w:pPr>
        <w:pStyle w:val="Sansinterligne"/>
        <w:ind w:left="284" w:firstLine="283"/>
        <w:rPr>
          <w:i/>
        </w:rPr>
      </w:pPr>
      <w:r w:rsidRPr="00641878">
        <w:rPr>
          <w:i/>
        </w:rPr>
        <w:t>Le clonage reproductif </w:t>
      </w:r>
    </w:p>
    <w:p w:rsidR="00951B78" w:rsidRDefault="00641878" w:rsidP="00641878">
      <w:pPr>
        <w:pStyle w:val="Sansinterligne"/>
        <w:ind w:left="284" w:firstLine="283"/>
        <w:rPr>
          <w:i/>
        </w:rPr>
      </w:pPr>
      <w:r w:rsidRPr="00641878">
        <w:rPr>
          <w:i/>
        </w:rPr>
        <w:t xml:space="preserve">La gestation pour autrui (GPA), </w:t>
      </w:r>
    </w:p>
    <w:p w:rsidR="00641878" w:rsidRPr="00641878" w:rsidRDefault="00641878" w:rsidP="00641878">
      <w:pPr>
        <w:pStyle w:val="Sansinterligne"/>
        <w:ind w:left="284" w:firstLine="283"/>
        <w:rPr>
          <w:i/>
        </w:rPr>
      </w:pPr>
      <w:r w:rsidRPr="00641878">
        <w:rPr>
          <w:i/>
        </w:rPr>
        <w:t xml:space="preserve">Les enfants de duos de même sexe  </w:t>
      </w:r>
    </w:p>
    <w:p w:rsidR="00641878" w:rsidRPr="00641878" w:rsidRDefault="00641878" w:rsidP="00641878">
      <w:pPr>
        <w:pStyle w:val="Sansinterligne"/>
        <w:ind w:left="284" w:hanging="284"/>
        <w:rPr>
          <w:i/>
        </w:rPr>
      </w:pPr>
      <w:r w:rsidRPr="00641878">
        <w:rPr>
          <w:i/>
        </w:rPr>
        <w:t>2° Les cellules souches induites</w:t>
      </w:r>
    </w:p>
    <w:p w:rsidR="00641878" w:rsidRPr="00641878" w:rsidRDefault="00641878" w:rsidP="00951B78">
      <w:pPr>
        <w:pStyle w:val="Sansinterligne"/>
        <w:ind w:left="426"/>
        <w:rPr>
          <w:i/>
        </w:rPr>
      </w:pPr>
      <w:r w:rsidRPr="00641878">
        <w:rPr>
          <w:i/>
        </w:rPr>
        <w:t xml:space="preserve">Arguments en faveur de la recherche sur les  cellules souches embryonnaires </w:t>
      </w:r>
    </w:p>
    <w:p w:rsidR="00641878" w:rsidRDefault="00641878" w:rsidP="00641878">
      <w:pPr>
        <w:pStyle w:val="Sansinterligne"/>
        <w:ind w:left="284" w:hanging="284"/>
        <w:rPr>
          <w:i/>
        </w:rPr>
      </w:pPr>
    </w:p>
    <w:p w:rsidR="00641878" w:rsidRPr="00641878" w:rsidRDefault="00641878" w:rsidP="00641878">
      <w:pPr>
        <w:pStyle w:val="Sansinterligne"/>
        <w:ind w:left="284" w:hanging="284"/>
        <w:rPr>
          <w:i/>
        </w:rPr>
      </w:pPr>
      <w:r w:rsidRPr="00641878">
        <w:rPr>
          <w:i/>
        </w:rPr>
        <w:t xml:space="preserve">III- </w:t>
      </w:r>
      <w:r w:rsidRPr="00641878">
        <w:rPr>
          <w:b/>
          <w:i/>
        </w:rPr>
        <w:t>L’eugénisme et le transhumanisme</w:t>
      </w:r>
    </w:p>
    <w:p w:rsidR="00641878" w:rsidRPr="00641878" w:rsidRDefault="00641878" w:rsidP="00641878">
      <w:pPr>
        <w:pStyle w:val="Sansinterligne"/>
        <w:ind w:left="284"/>
        <w:rPr>
          <w:i/>
        </w:rPr>
      </w:pPr>
      <w:r w:rsidRPr="00641878">
        <w:rPr>
          <w:i/>
        </w:rPr>
        <w:t xml:space="preserve">L’eugénisme négatif </w:t>
      </w:r>
    </w:p>
    <w:p w:rsidR="00641878" w:rsidRPr="00641878" w:rsidRDefault="00641878" w:rsidP="00641878">
      <w:pPr>
        <w:pStyle w:val="Sansinterligne"/>
        <w:ind w:left="284"/>
        <w:rPr>
          <w:i/>
        </w:rPr>
      </w:pPr>
      <w:r w:rsidRPr="00641878">
        <w:rPr>
          <w:i/>
        </w:rPr>
        <w:t xml:space="preserve">L'eugénisme positif </w:t>
      </w:r>
    </w:p>
    <w:p w:rsidR="00641878" w:rsidRPr="00641878" w:rsidRDefault="00641878" w:rsidP="00641878">
      <w:pPr>
        <w:pStyle w:val="Sansinterligne"/>
        <w:ind w:left="284"/>
        <w:rPr>
          <w:i/>
        </w:rPr>
      </w:pPr>
      <w:r w:rsidRPr="00641878">
        <w:rPr>
          <w:i/>
        </w:rPr>
        <w:t>Le transhumanisme</w:t>
      </w:r>
    </w:p>
    <w:p w:rsidR="00641878" w:rsidRPr="00641878" w:rsidRDefault="00641878" w:rsidP="00641878">
      <w:pPr>
        <w:pStyle w:val="Sansinterligne"/>
        <w:ind w:left="284"/>
        <w:rPr>
          <w:i/>
        </w:rPr>
      </w:pPr>
      <w:r w:rsidRPr="00641878">
        <w:rPr>
          <w:i/>
        </w:rPr>
        <w:t xml:space="preserve">Les substances </w:t>
      </w:r>
      <w:proofErr w:type="spellStart"/>
      <w:r w:rsidRPr="00641878">
        <w:rPr>
          <w:i/>
        </w:rPr>
        <w:t>nootropiques</w:t>
      </w:r>
      <w:proofErr w:type="spellEnd"/>
    </w:p>
    <w:p w:rsidR="00641878" w:rsidRPr="00641878" w:rsidRDefault="00641878" w:rsidP="00641878">
      <w:pPr>
        <w:pStyle w:val="Sansinterligne"/>
        <w:ind w:left="284" w:hanging="284"/>
        <w:rPr>
          <w:i/>
        </w:rPr>
      </w:pPr>
    </w:p>
    <w:p w:rsidR="00641878" w:rsidRPr="00641878" w:rsidRDefault="00641878" w:rsidP="00641878">
      <w:pPr>
        <w:pStyle w:val="Sansinterligne"/>
        <w:ind w:left="284" w:hanging="284"/>
        <w:rPr>
          <w:i/>
        </w:rPr>
      </w:pPr>
      <w:r w:rsidRPr="00641878">
        <w:rPr>
          <w:i/>
        </w:rPr>
        <w:t xml:space="preserve">IV - </w:t>
      </w:r>
      <w:r w:rsidRPr="00641878">
        <w:rPr>
          <w:b/>
          <w:i/>
        </w:rPr>
        <w:t>Quelques questions éthiques</w:t>
      </w:r>
    </w:p>
    <w:p w:rsidR="00641878" w:rsidRPr="00641878" w:rsidRDefault="00641878" w:rsidP="00641878">
      <w:pPr>
        <w:pStyle w:val="Sansinterligne"/>
        <w:ind w:left="284" w:firstLine="142"/>
        <w:rPr>
          <w:i/>
        </w:rPr>
      </w:pPr>
      <w:r w:rsidRPr="00641878">
        <w:rPr>
          <w:i/>
        </w:rPr>
        <w:t xml:space="preserve">La  « réification » de l’embryon </w:t>
      </w:r>
    </w:p>
    <w:p w:rsidR="00641878" w:rsidRPr="00641878" w:rsidRDefault="00641878" w:rsidP="00641878">
      <w:pPr>
        <w:pStyle w:val="Sansinterligne"/>
        <w:ind w:left="284" w:firstLine="142"/>
        <w:rPr>
          <w:rFonts w:eastAsia="Times New Roman"/>
          <w:bCs/>
          <w:i/>
          <w:color w:val="000000"/>
          <w:kern w:val="24"/>
          <w:lang w:eastAsia="fr-FR"/>
        </w:rPr>
      </w:pPr>
      <w:r w:rsidRPr="00641878">
        <w:rPr>
          <w:i/>
        </w:rPr>
        <w:t xml:space="preserve">Les démarches eugénistes </w:t>
      </w:r>
    </w:p>
    <w:p w:rsidR="00641878" w:rsidRPr="00641878" w:rsidRDefault="00641878" w:rsidP="00641878">
      <w:pPr>
        <w:pStyle w:val="Sansinterligne"/>
        <w:ind w:left="284" w:firstLine="142"/>
        <w:rPr>
          <w:i/>
        </w:rPr>
      </w:pPr>
      <w:r w:rsidRPr="00641878">
        <w:rPr>
          <w:rFonts w:eastAsia="Times New Roman"/>
          <w:bCs/>
          <w:i/>
          <w:color w:val="000000"/>
          <w:kern w:val="24"/>
          <w:lang w:eastAsia="fr-FR"/>
        </w:rPr>
        <w:t>La marchandisation du corps humain</w:t>
      </w:r>
    </w:p>
    <w:sectPr w:rsidR="00641878" w:rsidRPr="00641878" w:rsidSect="00951B78">
      <w:type w:val="continuous"/>
      <w:pgSz w:w="11906" w:h="16838"/>
      <w:pgMar w:top="993" w:right="1133" w:bottom="851" w:left="993" w:header="708" w:footer="708" w:gutter="0"/>
      <w:cols w:num="2"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78"/>
    <w:rsid w:val="00081A0D"/>
    <w:rsid w:val="003C05BD"/>
    <w:rsid w:val="00436353"/>
    <w:rsid w:val="004E7DF6"/>
    <w:rsid w:val="00641878"/>
    <w:rsid w:val="00820257"/>
    <w:rsid w:val="0086594F"/>
    <w:rsid w:val="00951B78"/>
    <w:rsid w:val="00B43064"/>
    <w:rsid w:val="00BC4697"/>
    <w:rsid w:val="00CB37FB"/>
    <w:rsid w:val="00CB394C"/>
    <w:rsid w:val="00D77BA0"/>
    <w:rsid w:val="00DB3F85"/>
    <w:rsid w:val="00EE0012"/>
    <w:rsid w:val="00F21D63"/>
    <w:rsid w:val="00FD56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A5FE0-6E63-4E88-A6C3-BF74165A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imes New Roman"/>
        <w:sz w:val="24"/>
        <w:szCs w:val="24"/>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uiPriority="99"/>
    <w:lsdException w:name="header" w:semiHidden="1" w:unhideWhenUsed="1"/>
    <w:lsdException w:name="caption" w:semiHidden="1" w:unhideWhenUsed="1" w:qFormat="1"/>
    <w:lsdException w:name="footnote reference" w:semiHidden="1" w:unhideWhenUsed="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A0"/>
  </w:style>
  <w:style w:type="paragraph" w:styleId="Titre1">
    <w:name w:val="heading 1"/>
    <w:basedOn w:val="Normal"/>
    <w:next w:val="Normal"/>
    <w:link w:val="Titre1Car"/>
    <w:qFormat/>
    <w:rsid w:val="00D77BA0"/>
    <w:pPr>
      <w:keepNext/>
      <w:jc w:val="center"/>
      <w:outlineLvl w:val="0"/>
    </w:pPr>
    <w:rPr>
      <w:rFonts w:eastAsia="Times New Roman"/>
      <w:b/>
      <w:sz w:val="28"/>
    </w:rPr>
  </w:style>
  <w:style w:type="paragraph" w:styleId="Titre2">
    <w:name w:val="heading 2"/>
    <w:basedOn w:val="Normal"/>
    <w:next w:val="Normal"/>
    <w:link w:val="Titre2Car"/>
    <w:qFormat/>
    <w:rsid w:val="00D77BA0"/>
    <w:pPr>
      <w:keepNext/>
      <w:widowControl w:val="0"/>
      <w:tabs>
        <w:tab w:val="left" w:pos="6338"/>
      </w:tabs>
      <w:jc w:val="center"/>
      <w:outlineLvl w:val="1"/>
    </w:pPr>
    <w:rPr>
      <w:rFonts w:eastAsia="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D77BA0"/>
    <w:pPr>
      <w:spacing w:before="100" w:after="100"/>
    </w:pPr>
    <w:rPr>
      <w:rFonts w:eastAsia="Times New Roman"/>
    </w:rPr>
  </w:style>
  <w:style w:type="paragraph" w:customStyle="1" w:styleId="romtext">
    <w:name w:val="romtext"/>
    <w:basedOn w:val="Normal"/>
    <w:rsid w:val="00D77BA0"/>
    <w:pPr>
      <w:spacing w:line="360" w:lineRule="auto"/>
      <w:ind w:firstLine="709"/>
      <w:jc w:val="both"/>
    </w:pPr>
    <w:rPr>
      <w:rFonts w:eastAsia="Times New Roman"/>
      <w:sz w:val="26"/>
    </w:rPr>
  </w:style>
  <w:style w:type="paragraph" w:customStyle="1" w:styleId="communication">
    <w:name w:val="communication"/>
    <w:basedOn w:val="Normal"/>
    <w:rsid w:val="00D77BA0"/>
    <w:pPr>
      <w:spacing w:after="240"/>
      <w:jc w:val="center"/>
    </w:pPr>
    <w:rPr>
      <w:rFonts w:ascii="Arial" w:eastAsia="Times New Roman" w:hAnsi="Arial"/>
      <w:b/>
      <w:caps/>
    </w:rPr>
  </w:style>
  <w:style w:type="character" w:customStyle="1" w:styleId="Titre1Car">
    <w:name w:val="Titre 1 Car"/>
    <w:basedOn w:val="Policepardfaut"/>
    <w:link w:val="Titre1"/>
    <w:rsid w:val="00D77BA0"/>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D77BA0"/>
    <w:rPr>
      <w:rFonts w:ascii="Garamond" w:eastAsia="Times New Roman" w:hAnsi="Garamond" w:cs="Times New Roman"/>
      <w:b/>
      <w:sz w:val="24"/>
      <w:szCs w:val="20"/>
      <w:lang w:eastAsia="fr-FR"/>
    </w:rPr>
  </w:style>
  <w:style w:type="paragraph" w:styleId="Notedebasdepage">
    <w:name w:val="footnote text"/>
    <w:basedOn w:val="Normal"/>
    <w:link w:val="NotedebasdepageCar"/>
    <w:semiHidden/>
    <w:rsid w:val="00D77BA0"/>
    <w:pPr>
      <w:widowControl w:val="0"/>
      <w:suppressAutoHyphens/>
    </w:pPr>
    <w:rPr>
      <w:rFonts w:eastAsia="Lucida Sans Unicode"/>
      <w:kern w:val="2"/>
    </w:rPr>
  </w:style>
  <w:style w:type="character" w:customStyle="1" w:styleId="NotedebasdepageCar">
    <w:name w:val="Note de bas de page Car"/>
    <w:basedOn w:val="Policepardfaut"/>
    <w:link w:val="Notedebasdepage"/>
    <w:semiHidden/>
    <w:rsid w:val="00D77BA0"/>
    <w:rPr>
      <w:rFonts w:ascii="Times New Roman" w:eastAsia="Lucida Sans Unicode" w:hAnsi="Times New Roman" w:cs="Times New Roman"/>
      <w:kern w:val="2"/>
      <w:sz w:val="20"/>
      <w:szCs w:val="20"/>
      <w:lang w:eastAsia="fr-FR"/>
    </w:rPr>
  </w:style>
  <w:style w:type="paragraph" w:styleId="En-tte">
    <w:name w:val="header"/>
    <w:basedOn w:val="Normal"/>
    <w:link w:val="En-tteCar"/>
    <w:rsid w:val="00D77BA0"/>
    <w:pPr>
      <w:tabs>
        <w:tab w:val="center" w:pos="4536"/>
        <w:tab w:val="right" w:pos="9072"/>
      </w:tabs>
    </w:pPr>
    <w:rPr>
      <w:rFonts w:eastAsia="Times New Roman"/>
    </w:rPr>
  </w:style>
  <w:style w:type="character" w:customStyle="1" w:styleId="En-tteCar">
    <w:name w:val="En-tête Car"/>
    <w:basedOn w:val="Policepardfaut"/>
    <w:link w:val="En-tte"/>
    <w:rsid w:val="00D77BA0"/>
    <w:rPr>
      <w:rFonts w:ascii="Garamond" w:eastAsia="Times New Roman" w:hAnsi="Garamond" w:cs="Times New Roman"/>
      <w:sz w:val="24"/>
      <w:szCs w:val="20"/>
      <w:lang w:eastAsia="fr-FR"/>
    </w:rPr>
  </w:style>
  <w:style w:type="character" w:styleId="Appelnotedebasdep">
    <w:name w:val="footnote reference"/>
    <w:basedOn w:val="Policepardfaut"/>
    <w:semiHidden/>
    <w:rsid w:val="00D77BA0"/>
    <w:rPr>
      <w:vertAlign w:val="superscript"/>
    </w:rPr>
  </w:style>
  <w:style w:type="paragraph" w:styleId="Titre">
    <w:name w:val="Title"/>
    <w:basedOn w:val="Normal"/>
    <w:link w:val="TitreCar"/>
    <w:qFormat/>
    <w:rsid w:val="00D77BA0"/>
    <w:pPr>
      <w:jc w:val="center"/>
    </w:pPr>
    <w:rPr>
      <w:rFonts w:eastAsia="Times New Roman"/>
    </w:rPr>
  </w:style>
  <w:style w:type="character" w:customStyle="1" w:styleId="TitreCar">
    <w:name w:val="Titre Car"/>
    <w:basedOn w:val="Policepardfaut"/>
    <w:link w:val="Titre"/>
    <w:rsid w:val="00D77BA0"/>
    <w:rPr>
      <w:rFonts w:ascii="Garamond" w:eastAsia="Times New Roman" w:hAnsi="Garamond" w:cs="Times New Roman"/>
      <w:sz w:val="24"/>
      <w:szCs w:val="20"/>
      <w:lang w:eastAsia="fr-FR"/>
    </w:rPr>
  </w:style>
  <w:style w:type="paragraph" w:styleId="Textedebulles">
    <w:name w:val="Balloon Text"/>
    <w:basedOn w:val="Normal"/>
    <w:link w:val="TextedebullesCar"/>
    <w:rsid w:val="00D77BA0"/>
    <w:rPr>
      <w:rFonts w:ascii="Segoe UI" w:eastAsia="Times New Roman" w:hAnsi="Segoe UI" w:cs="Segoe UI"/>
      <w:sz w:val="18"/>
      <w:szCs w:val="18"/>
    </w:rPr>
  </w:style>
  <w:style w:type="character" w:customStyle="1" w:styleId="TextedebullesCar">
    <w:name w:val="Texte de bulles Car"/>
    <w:basedOn w:val="Policepardfaut"/>
    <w:link w:val="Textedebulles"/>
    <w:rsid w:val="00D77BA0"/>
    <w:rPr>
      <w:rFonts w:ascii="Segoe UI" w:eastAsia="Times New Roman" w:hAnsi="Segoe UI" w:cs="Segoe UI"/>
      <w:sz w:val="18"/>
      <w:szCs w:val="18"/>
      <w:lang w:eastAsia="fr-FR"/>
    </w:rPr>
  </w:style>
  <w:style w:type="paragraph" w:styleId="Commentaire">
    <w:name w:val="annotation text"/>
    <w:basedOn w:val="Normal"/>
    <w:link w:val="CommentaireCar"/>
    <w:uiPriority w:val="99"/>
    <w:unhideWhenUsed/>
    <w:rsid w:val="00641878"/>
    <w:pPr>
      <w:spacing w:after="200"/>
    </w:pPr>
    <w:rPr>
      <w:rFonts w:ascii="Calibri" w:eastAsia="Calibri" w:hAnsi="Calibri"/>
      <w:sz w:val="20"/>
      <w:szCs w:val="20"/>
    </w:rPr>
  </w:style>
  <w:style w:type="character" w:customStyle="1" w:styleId="CommentaireCar">
    <w:name w:val="Commentaire Car"/>
    <w:basedOn w:val="Policepardfaut"/>
    <w:link w:val="Commentaire"/>
    <w:uiPriority w:val="99"/>
    <w:rsid w:val="00641878"/>
    <w:rPr>
      <w:rFonts w:ascii="Calibri" w:eastAsia="Calibri" w:hAnsi="Calibri"/>
      <w:sz w:val="20"/>
      <w:szCs w:val="20"/>
    </w:rPr>
  </w:style>
  <w:style w:type="paragraph" w:styleId="Sansinterligne">
    <w:name w:val="No Spacing"/>
    <w:uiPriority w:val="1"/>
    <w:qFormat/>
    <w:rsid w:val="0064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C16B7-65A7-4B21-83F8-C7FCA455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Monsigny</dc:creator>
  <cp:keywords/>
  <dc:description/>
  <cp:lastModifiedBy>Michel Monsigny</cp:lastModifiedBy>
  <cp:revision>2</cp:revision>
  <cp:lastPrinted>2016-11-04T21:14:00Z</cp:lastPrinted>
  <dcterms:created xsi:type="dcterms:W3CDTF">2016-11-04T21:34:00Z</dcterms:created>
  <dcterms:modified xsi:type="dcterms:W3CDTF">2016-11-04T21:34:00Z</dcterms:modified>
</cp:coreProperties>
</file>